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78C" w:rsidRPr="00BC6E73" w:rsidRDefault="0002778C" w:rsidP="009D6662">
      <w:pPr>
        <w:rPr>
          <w:rFonts w:asciiTheme="minorHAnsi" w:hAnsiTheme="minorHAnsi" w:cstheme="minorHAnsi"/>
          <w:szCs w:val="22"/>
        </w:rPr>
      </w:pPr>
      <w:bookmarkStart w:id="0" w:name="_GoBack"/>
      <w:bookmarkEnd w:id="0"/>
    </w:p>
    <w:p w:rsidR="009D6662" w:rsidRPr="00BC6E73" w:rsidRDefault="009D6662" w:rsidP="009D6662">
      <w:pPr>
        <w:pStyle w:val="Heading1"/>
        <w:rPr>
          <w:rFonts w:asciiTheme="minorHAnsi" w:hAnsiTheme="minorHAnsi" w:cstheme="minorHAnsi"/>
          <w:b w:val="0"/>
          <w:szCs w:val="22"/>
        </w:rPr>
      </w:pPr>
    </w:p>
    <w:p w:rsidR="00AA083E" w:rsidRPr="00BC6E73" w:rsidRDefault="00AA083E" w:rsidP="00AA083E">
      <w:pPr>
        <w:rPr>
          <w:rFonts w:asciiTheme="minorHAnsi" w:hAnsiTheme="minorHAnsi" w:cstheme="minorHAnsi"/>
          <w:szCs w:val="22"/>
        </w:rPr>
      </w:pPr>
      <w:r w:rsidRPr="00BC6E73">
        <w:rPr>
          <w:rFonts w:asciiTheme="minorHAnsi" w:hAnsiTheme="minorHAnsi" w:cstheme="minorHAnsi"/>
          <w:szCs w:val="22"/>
        </w:rPr>
        <w:t xml:space="preserve">Memo </w:t>
      </w:r>
      <w:r w:rsidR="002204F1" w:rsidRPr="00BC6E73">
        <w:rPr>
          <w:rFonts w:asciiTheme="minorHAnsi" w:hAnsiTheme="minorHAnsi" w:cstheme="minorHAnsi"/>
          <w:szCs w:val="22"/>
        </w:rPr>
        <w:t>M</w:t>
      </w:r>
      <w:r w:rsidR="00282435" w:rsidRPr="00BC6E73">
        <w:rPr>
          <w:rFonts w:asciiTheme="minorHAnsi" w:hAnsiTheme="minorHAnsi" w:cstheme="minorHAnsi"/>
          <w:szCs w:val="22"/>
        </w:rPr>
        <w:t>5</w:t>
      </w:r>
      <w:r w:rsidR="001579BB" w:rsidRPr="00BC6E73">
        <w:rPr>
          <w:rFonts w:asciiTheme="minorHAnsi" w:hAnsiTheme="minorHAnsi" w:cstheme="minorHAnsi"/>
          <w:szCs w:val="22"/>
        </w:rPr>
        <w:t>/</w:t>
      </w:r>
      <w:r w:rsidR="007D2CC2" w:rsidRPr="00BC6E73">
        <w:rPr>
          <w:rFonts w:asciiTheme="minorHAnsi" w:hAnsiTheme="minorHAnsi" w:cstheme="minorHAnsi"/>
          <w:szCs w:val="22"/>
        </w:rPr>
        <w:t>21</w:t>
      </w:r>
    </w:p>
    <w:p w:rsidR="00DF51B9" w:rsidRPr="00BC6E73" w:rsidRDefault="00DF51B9" w:rsidP="00DF51B9">
      <w:pPr>
        <w:tabs>
          <w:tab w:val="clear" w:pos="567"/>
          <w:tab w:val="clear" w:pos="1134"/>
          <w:tab w:val="clear" w:pos="1701"/>
          <w:tab w:val="clear" w:pos="5670"/>
          <w:tab w:val="clear" w:pos="9072"/>
        </w:tabs>
        <w:spacing w:after="160" w:line="259" w:lineRule="auto"/>
        <w:rPr>
          <w:rFonts w:asciiTheme="minorHAnsi" w:eastAsia="Calibri" w:hAnsiTheme="minorHAnsi" w:cstheme="minorHAnsi"/>
          <w:b/>
          <w:szCs w:val="22"/>
        </w:rPr>
      </w:pP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szCs w:val="22"/>
        </w:rPr>
      </w:pPr>
      <w:r w:rsidRPr="00282435">
        <w:rPr>
          <w:rFonts w:asciiTheme="minorHAnsi" w:eastAsiaTheme="minorHAnsi" w:hAnsiTheme="minorHAnsi" w:cstheme="minorHAnsi"/>
          <w:b/>
          <w:szCs w:val="22"/>
        </w:rPr>
        <w:t xml:space="preserve">The Control of Vibration at Work Regulations 2005; Hand-Arm Vibration </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szCs w:val="22"/>
        </w:rPr>
      </w:pPr>
      <w:r w:rsidRPr="00282435">
        <w:rPr>
          <w:rFonts w:asciiTheme="minorHAnsi" w:eastAsiaTheme="minorHAnsi" w:hAnsiTheme="minorHAnsi" w:cstheme="minorHAnsi"/>
          <w:b/>
          <w:szCs w:val="22"/>
        </w:rPr>
        <w:t>Introduction</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Hand-arm vibration (HAV) is vibration transmitted into the hands and arms from the use of hand-held power tools (such as grinders and strimmers), or through contact with materials that are vibrating, such as during cutting. Regular and frequent exposure can lead to a range of conditions known as hand-arm vibration syndrome (HAVS) and carpal tunnel syndrome (CTS). Symptoms include tingling, numbness, pain and weakness in the hand and the fingers going white (blanching)</w:t>
      </w:r>
      <w:r w:rsidR="00864FAD"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and becoming red and painful on recovery.</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The Control of Vibration at Work Regulations require the risk of exposure to vibration at work to be either eliminated at source, or where this is not reasonably practicable, reduced to as low as is reasonably practicable.</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 xml:space="preserve">The purpose of this memo is to: </w:t>
      </w:r>
    </w:p>
    <w:p w:rsidR="00282435" w:rsidRPr="00282435" w:rsidRDefault="00282435" w:rsidP="00282435">
      <w:pPr>
        <w:numPr>
          <w:ilvl w:val="0"/>
          <w:numId w:val="13"/>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szCs w:val="22"/>
        </w:rPr>
        <w:t>Highlight the requirement to identify and manage the risks from hand-arm vibration in the University</w:t>
      </w:r>
      <w:r w:rsidR="00864FAD"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w:t>
      </w:r>
    </w:p>
    <w:p w:rsidR="00282435" w:rsidRPr="00282435" w:rsidRDefault="00282435" w:rsidP="00282435">
      <w:pPr>
        <w:numPr>
          <w:ilvl w:val="0"/>
          <w:numId w:val="13"/>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szCs w:val="22"/>
        </w:rPr>
        <w:t>Assist departments in identifying equipment that might present a risk and provide information on how to assess and manage that risk</w:t>
      </w:r>
      <w:r w:rsidR="00864FAD" w:rsidRPr="00BC6E73">
        <w:rPr>
          <w:rFonts w:asciiTheme="minorHAnsi" w:eastAsiaTheme="minorHAnsi" w:hAnsiTheme="minorHAnsi" w:cstheme="minorHAnsi"/>
          <w:szCs w:val="22"/>
        </w:rPr>
        <w:t>;</w:t>
      </w:r>
    </w:p>
    <w:p w:rsidR="00282435" w:rsidRPr="00BC6E73" w:rsidRDefault="00282435" w:rsidP="00282435">
      <w:pPr>
        <w:numPr>
          <w:ilvl w:val="0"/>
          <w:numId w:val="13"/>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szCs w:val="22"/>
        </w:rPr>
        <w:t>Identify areas that present a high risk, so the Safety Office can provide support in ensuring the risks are appropriately managed.</w:t>
      </w:r>
    </w:p>
    <w:p w:rsidR="00864FAD" w:rsidRPr="00282435" w:rsidRDefault="00864FAD" w:rsidP="00864FAD">
      <w:pPr>
        <w:tabs>
          <w:tab w:val="clear" w:pos="567"/>
          <w:tab w:val="clear" w:pos="1134"/>
          <w:tab w:val="clear" w:pos="1701"/>
          <w:tab w:val="clear" w:pos="5670"/>
          <w:tab w:val="clear" w:pos="9072"/>
        </w:tabs>
        <w:spacing w:after="160" w:line="259" w:lineRule="auto"/>
        <w:ind w:left="720"/>
        <w:contextualSpacing/>
        <w:rPr>
          <w:rFonts w:asciiTheme="minorHAnsi" w:eastAsiaTheme="minorHAnsi" w:hAnsiTheme="minorHAnsi" w:cstheme="minorHAnsi"/>
          <w:szCs w:val="22"/>
        </w:rPr>
      </w:pP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szCs w:val="22"/>
        </w:rPr>
      </w:pPr>
      <w:r w:rsidRPr="00282435">
        <w:rPr>
          <w:rFonts w:asciiTheme="minorHAnsi" w:eastAsiaTheme="minorHAnsi" w:hAnsiTheme="minorHAnsi" w:cstheme="minorHAnsi"/>
          <w:b/>
          <w:szCs w:val="22"/>
        </w:rPr>
        <w:t xml:space="preserve">Actions for </w:t>
      </w:r>
      <w:r w:rsidRPr="00BC6E73">
        <w:rPr>
          <w:rFonts w:asciiTheme="minorHAnsi" w:eastAsiaTheme="minorHAnsi" w:hAnsiTheme="minorHAnsi" w:cstheme="minorHAnsi"/>
          <w:b/>
          <w:szCs w:val="22"/>
        </w:rPr>
        <w:t>d</w:t>
      </w:r>
      <w:r w:rsidRPr="00282435">
        <w:rPr>
          <w:rFonts w:asciiTheme="minorHAnsi" w:eastAsiaTheme="minorHAnsi" w:hAnsiTheme="minorHAnsi" w:cstheme="minorHAnsi"/>
          <w:b/>
          <w:szCs w:val="22"/>
        </w:rPr>
        <w:t xml:space="preserve">epartments </w:t>
      </w:r>
    </w:p>
    <w:p w:rsidR="00282435" w:rsidRPr="00BC6E73" w:rsidRDefault="00282435" w:rsidP="00282435">
      <w:pPr>
        <w:numPr>
          <w:ilvl w:val="0"/>
          <w:numId w:val="23"/>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 xml:space="preserve">Discuss this memo in your departmental safety advisory committee. </w:t>
      </w:r>
    </w:p>
    <w:p w:rsidR="00864FAD" w:rsidRPr="00282435" w:rsidRDefault="00864FAD" w:rsidP="00864FAD">
      <w:pPr>
        <w:tabs>
          <w:tab w:val="clear" w:pos="567"/>
          <w:tab w:val="clear" w:pos="1134"/>
          <w:tab w:val="clear" w:pos="1701"/>
          <w:tab w:val="clear" w:pos="5670"/>
          <w:tab w:val="clear" w:pos="9072"/>
        </w:tabs>
        <w:spacing w:after="0" w:line="252" w:lineRule="auto"/>
        <w:ind w:left="720"/>
        <w:contextualSpacing/>
        <w:rPr>
          <w:rFonts w:asciiTheme="minorHAnsi" w:eastAsia="Calibri" w:hAnsiTheme="minorHAnsi" w:cstheme="minorHAnsi"/>
          <w:szCs w:val="22"/>
        </w:rPr>
      </w:pPr>
    </w:p>
    <w:p w:rsidR="00282435" w:rsidRPr="00BC6E73" w:rsidRDefault="00282435" w:rsidP="00282435">
      <w:pPr>
        <w:numPr>
          <w:ilvl w:val="0"/>
          <w:numId w:val="23"/>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Undertake a survey to find out who is exposed to hand-arm vibration, what is causing the exposure and how long the equipment or work piece is being held for.</w:t>
      </w:r>
    </w:p>
    <w:p w:rsidR="00864FAD" w:rsidRPr="00282435" w:rsidRDefault="00864FAD" w:rsidP="00864FAD">
      <w:pPr>
        <w:tabs>
          <w:tab w:val="clear" w:pos="567"/>
          <w:tab w:val="clear" w:pos="1134"/>
          <w:tab w:val="clear" w:pos="1701"/>
          <w:tab w:val="clear" w:pos="5670"/>
          <w:tab w:val="clear" w:pos="9072"/>
        </w:tabs>
        <w:spacing w:after="0" w:line="252" w:lineRule="auto"/>
        <w:ind w:left="720"/>
        <w:contextualSpacing/>
        <w:rPr>
          <w:rFonts w:asciiTheme="minorHAnsi" w:eastAsia="Calibri" w:hAnsiTheme="minorHAnsi" w:cstheme="minorHAnsi"/>
          <w:szCs w:val="22"/>
        </w:rPr>
      </w:pPr>
    </w:p>
    <w:p w:rsidR="00282435" w:rsidRPr="00BC6E73" w:rsidRDefault="00282435" w:rsidP="00282435">
      <w:pPr>
        <w:numPr>
          <w:ilvl w:val="0"/>
          <w:numId w:val="23"/>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 xml:space="preserve">Where there is exposure, undertake a risk assessment and document this (detail commensurate with risk). </w:t>
      </w:r>
    </w:p>
    <w:p w:rsidR="00864FAD" w:rsidRPr="00282435" w:rsidRDefault="00864FAD" w:rsidP="00864FAD">
      <w:pPr>
        <w:tabs>
          <w:tab w:val="clear" w:pos="567"/>
          <w:tab w:val="clear" w:pos="1134"/>
          <w:tab w:val="clear" w:pos="1701"/>
          <w:tab w:val="clear" w:pos="5670"/>
          <w:tab w:val="clear" w:pos="9072"/>
        </w:tabs>
        <w:spacing w:after="0" w:line="252" w:lineRule="auto"/>
        <w:ind w:left="720"/>
        <w:contextualSpacing/>
        <w:rPr>
          <w:rFonts w:asciiTheme="minorHAnsi" w:eastAsia="Calibri" w:hAnsiTheme="minorHAnsi" w:cstheme="minorHAnsi"/>
          <w:szCs w:val="22"/>
        </w:rPr>
      </w:pPr>
    </w:p>
    <w:p w:rsidR="00282435" w:rsidRPr="00BC6E73" w:rsidRDefault="00282435" w:rsidP="00282435">
      <w:pPr>
        <w:numPr>
          <w:ilvl w:val="0"/>
          <w:numId w:val="23"/>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 xml:space="preserve">Implement the control measures identified with reference to Appendix A. This should include staff instruction, information and training and ensuring all staff who are likely to be exposed at or above the Exposure Action Value (or where an individual risk factor is identified such as a diagnosis of HAVs) are under Health Surveillance with </w:t>
      </w:r>
      <w:r w:rsidR="00BC6E73" w:rsidRPr="00BC6E73">
        <w:rPr>
          <w:rFonts w:asciiTheme="minorHAnsi" w:eastAsia="Calibri" w:hAnsiTheme="minorHAnsi" w:cstheme="minorHAnsi"/>
          <w:szCs w:val="22"/>
        </w:rPr>
        <w:t>the Occupational Health Service</w:t>
      </w:r>
      <w:r w:rsidRPr="00282435">
        <w:rPr>
          <w:rFonts w:asciiTheme="minorHAnsi" w:eastAsia="Calibri" w:hAnsiTheme="minorHAnsi" w:cstheme="minorHAnsi"/>
          <w:szCs w:val="22"/>
        </w:rPr>
        <w:t>.</w:t>
      </w:r>
    </w:p>
    <w:p w:rsidR="00864FAD" w:rsidRPr="00282435" w:rsidRDefault="00864FAD" w:rsidP="00864FAD">
      <w:pPr>
        <w:tabs>
          <w:tab w:val="clear" w:pos="567"/>
          <w:tab w:val="clear" w:pos="1134"/>
          <w:tab w:val="clear" w:pos="1701"/>
          <w:tab w:val="clear" w:pos="5670"/>
          <w:tab w:val="clear" w:pos="9072"/>
        </w:tabs>
        <w:spacing w:after="0" w:line="252" w:lineRule="auto"/>
        <w:ind w:left="720"/>
        <w:contextualSpacing/>
        <w:rPr>
          <w:rFonts w:asciiTheme="minorHAnsi" w:eastAsia="Calibri" w:hAnsiTheme="minorHAnsi" w:cstheme="minorHAnsi"/>
          <w:szCs w:val="22"/>
        </w:rPr>
      </w:pPr>
    </w:p>
    <w:p w:rsidR="00282435" w:rsidRPr="00BC6E73" w:rsidRDefault="00282435" w:rsidP="00BC6E73">
      <w:pPr>
        <w:numPr>
          <w:ilvl w:val="0"/>
          <w:numId w:val="23"/>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 xml:space="preserve">Inform the Safety Office </w:t>
      </w:r>
      <w:hyperlink r:id="rId8" w:history="1">
        <w:r w:rsidRPr="00282435">
          <w:rPr>
            <w:rFonts w:asciiTheme="minorHAnsi" w:eastAsia="Calibri" w:hAnsiTheme="minorHAnsi" w:cstheme="minorHAnsi"/>
            <w:color w:val="0563C1"/>
            <w:szCs w:val="22"/>
            <w:u w:val="single"/>
          </w:rPr>
          <w:t>enquiries@safety.ox.ac.uk</w:t>
        </w:r>
      </w:hyperlink>
      <w:r w:rsidRPr="00282435">
        <w:rPr>
          <w:rFonts w:asciiTheme="minorHAnsi" w:eastAsia="Calibri" w:hAnsiTheme="minorHAnsi" w:cstheme="minorHAnsi"/>
          <w:szCs w:val="22"/>
        </w:rPr>
        <w:t xml:space="preserve">  where: </w:t>
      </w:r>
    </w:p>
    <w:p w:rsidR="00BC6E73" w:rsidRPr="00282435" w:rsidRDefault="00BC6E73" w:rsidP="00BC6E73">
      <w:pPr>
        <w:tabs>
          <w:tab w:val="clear" w:pos="567"/>
          <w:tab w:val="clear" w:pos="1134"/>
          <w:tab w:val="clear" w:pos="1701"/>
          <w:tab w:val="clear" w:pos="5670"/>
          <w:tab w:val="clear" w:pos="9072"/>
        </w:tabs>
        <w:spacing w:after="0" w:line="252" w:lineRule="auto"/>
        <w:ind w:left="720"/>
        <w:contextualSpacing/>
        <w:rPr>
          <w:rFonts w:asciiTheme="minorHAnsi" w:eastAsia="Calibri" w:hAnsiTheme="minorHAnsi" w:cstheme="minorHAnsi"/>
          <w:szCs w:val="22"/>
        </w:rPr>
      </w:pPr>
    </w:p>
    <w:p w:rsidR="00282435" w:rsidRPr="00282435" w:rsidRDefault="00282435" w:rsidP="00BC6E73">
      <w:pPr>
        <w:numPr>
          <w:ilvl w:val="0"/>
          <w:numId w:val="24"/>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widely varying daily combinations of different pieces of hand</w:t>
      </w:r>
      <w:r w:rsidR="00BC6E73" w:rsidRPr="00BC6E73">
        <w:rPr>
          <w:rFonts w:asciiTheme="minorHAnsi" w:eastAsia="Calibri" w:hAnsiTheme="minorHAnsi" w:cstheme="minorHAnsi"/>
          <w:szCs w:val="22"/>
        </w:rPr>
        <w:t>-</w:t>
      </w:r>
      <w:r w:rsidRPr="00282435">
        <w:rPr>
          <w:rFonts w:asciiTheme="minorHAnsi" w:eastAsia="Calibri" w:hAnsiTheme="minorHAnsi" w:cstheme="minorHAnsi"/>
          <w:szCs w:val="22"/>
        </w:rPr>
        <w:t>held vibrating equipment are used; and/or</w:t>
      </w:r>
    </w:p>
    <w:p w:rsidR="00282435" w:rsidRPr="00282435" w:rsidRDefault="00282435" w:rsidP="00BC6E73">
      <w:pPr>
        <w:numPr>
          <w:ilvl w:val="0"/>
          <w:numId w:val="24"/>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lastRenderedPageBreak/>
        <w:t>high risk equipment or combinations of equipment have been identified (when gauged by vibration magnitude and trigger time), in particular where the Exposure Action Value is likely to be approached or exceeded; and/or</w:t>
      </w:r>
    </w:p>
    <w:p w:rsidR="00282435" w:rsidRPr="00BC6E73" w:rsidRDefault="00282435" w:rsidP="00BC6E73">
      <w:pPr>
        <w:numPr>
          <w:ilvl w:val="0"/>
          <w:numId w:val="24"/>
        </w:numPr>
        <w:tabs>
          <w:tab w:val="clear" w:pos="567"/>
          <w:tab w:val="clear" w:pos="1134"/>
          <w:tab w:val="clear" w:pos="1701"/>
          <w:tab w:val="clear" w:pos="5670"/>
          <w:tab w:val="clear" w:pos="9072"/>
        </w:tabs>
        <w:spacing w:after="0" w:line="259"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very old equipment is being used that has not been maintained or has been poorly maintained.</w:t>
      </w:r>
    </w:p>
    <w:p w:rsidR="00864FAD" w:rsidRPr="00282435" w:rsidRDefault="00864FAD" w:rsidP="00864FAD">
      <w:pPr>
        <w:tabs>
          <w:tab w:val="clear" w:pos="567"/>
          <w:tab w:val="clear" w:pos="1134"/>
          <w:tab w:val="clear" w:pos="1701"/>
          <w:tab w:val="clear" w:pos="5670"/>
          <w:tab w:val="clear" w:pos="9072"/>
        </w:tabs>
        <w:spacing w:after="0" w:line="259" w:lineRule="auto"/>
        <w:ind w:left="1434"/>
        <w:contextualSpacing/>
        <w:rPr>
          <w:rFonts w:asciiTheme="minorHAnsi" w:eastAsia="Calibri" w:hAnsiTheme="minorHAnsi" w:cstheme="minorHAnsi"/>
          <w:szCs w:val="22"/>
        </w:rPr>
      </w:pPr>
    </w:p>
    <w:p w:rsidR="00282435" w:rsidRPr="00BC6E73" w:rsidRDefault="00282435" w:rsidP="00282435">
      <w:pPr>
        <w:tabs>
          <w:tab w:val="clear" w:pos="567"/>
          <w:tab w:val="clear" w:pos="1134"/>
          <w:tab w:val="clear" w:pos="1701"/>
          <w:tab w:val="clear" w:pos="5670"/>
          <w:tab w:val="clear" w:pos="9072"/>
        </w:tabs>
        <w:spacing w:after="0"/>
        <w:ind w:left="720"/>
        <w:rPr>
          <w:rFonts w:asciiTheme="minorHAnsi" w:eastAsia="Calibri" w:hAnsiTheme="minorHAnsi" w:cstheme="minorHAnsi"/>
          <w:szCs w:val="22"/>
        </w:rPr>
      </w:pPr>
      <w:r w:rsidRPr="00282435">
        <w:rPr>
          <w:rFonts w:asciiTheme="minorHAnsi" w:eastAsia="Calibri" w:hAnsiTheme="minorHAnsi" w:cstheme="minorHAnsi"/>
          <w:szCs w:val="22"/>
        </w:rPr>
        <w:t>The Safety Office will be able to provide further information and support where necessary.</w:t>
      </w:r>
    </w:p>
    <w:p w:rsidR="00864FAD" w:rsidRPr="00282435" w:rsidRDefault="00864FAD" w:rsidP="00282435">
      <w:pPr>
        <w:tabs>
          <w:tab w:val="clear" w:pos="567"/>
          <w:tab w:val="clear" w:pos="1134"/>
          <w:tab w:val="clear" w:pos="1701"/>
          <w:tab w:val="clear" w:pos="5670"/>
          <w:tab w:val="clear" w:pos="9072"/>
        </w:tabs>
        <w:spacing w:after="0"/>
        <w:ind w:left="720"/>
        <w:rPr>
          <w:rFonts w:asciiTheme="minorHAnsi" w:eastAsia="Calibri" w:hAnsiTheme="minorHAnsi" w:cstheme="minorHAnsi"/>
          <w:szCs w:val="22"/>
        </w:rPr>
      </w:pPr>
    </w:p>
    <w:p w:rsidR="00282435" w:rsidRPr="00282435" w:rsidRDefault="00282435" w:rsidP="00864FAD">
      <w:pPr>
        <w:numPr>
          <w:ilvl w:val="0"/>
          <w:numId w:val="23"/>
        </w:numPr>
        <w:tabs>
          <w:tab w:val="clear" w:pos="567"/>
          <w:tab w:val="clear" w:pos="1134"/>
          <w:tab w:val="clear" w:pos="1701"/>
          <w:tab w:val="clear" w:pos="5670"/>
          <w:tab w:val="clear" w:pos="9072"/>
        </w:tabs>
        <w:spacing w:after="0" w:line="252" w:lineRule="auto"/>
        <w:contextualSpacing/>
        <w:rPr>
          <w:rFonts w:asciiTheme="minorHAnsi" w:eastAsia="Calibri" w:hAnsiTheme="minorHAnsi" w:cstheme="minorHAnsi"/>
          <w:szCs w:val="22"/>
        </w:rPr>
      </w:pPr>
      <w:r w:rsidRPr="00282435">
        <w:rPr>
          <w:rFonts w:asciiTheme="minorHAnsi" w:eastAsia="Calibri" w:hAnsiTheme="minorHAnsi" w:cstheme="minorHAnsi"/>
          <w:szCs w:val="22"/>
        </w:rPr>
        <w:t xml:space="preserve">Include HAVs in departmental </w:t>
      </w:r>
      <w:r w:rsidR="00864FAD" w:rsidRPr="00BC6E73">
        <w:rPr>
          <w:rFonts w:asciiTheme="minorHAnsi" w:eastAsia="Calibri" w:hAnsiTheme="minorHAnsi" w:cstheme="minorHAnsi"/>
          <w:szCs w:val="22"/>
        </w:rPr>
        <w:t xml:space="preserve">health and safety </w:t>
      </w:r>
      <w:r w:rsidRPr="00282435">
        <w:rPr>
          <w:rFonts w:asciiTheme="minorHAnsi" w:eastAsia="Calibri" w:hAnsiTheme="minorHAnsi" w:cstheme="minorHAnsi"/>
          <w:szCs w:val="22"/>
        </w:rPr>
        <w:t>management arrangements, as is appropriate to the risk (for example risk register, prioritised action plan, assurance checking).</w:t>
      </w:r>
    </w:p>
    <w:p w:rsidR="00864FAD" w:rsidRPr="00BC6E73" w:rsidRDefault="00864FAD" w:rsidP="00864FAD">
      <w:pPr>
        <w:tabs>
          <w:tab w:val="clear" w:pos="567"/>
          <w:tab w:val="clear" w:pos="1134"/>
          <w:tab w:val="clear" w:pos="1701"/>
          <w:tab w:val="clear" w:pos="5670"/>
          <w:tab w:val="clear" w:pos="9072"/>
        </w:tabs>
        <w:spacing w:after="0" w:line="259" w:lineRule="auto"/>
        <w:rPr>
          <w:rFonts w:asciiTheme="minorHAnsi" w:eastAsiaTheme="minorHAnsi" w:hAnsiTheme="minorHAnsi" w:cstheme="minorHAnsi"/>
          <w:szCs w:val="22"/>
        </w:rPr>
      </w:pPr>
    </w:p>
    <w:p w:rsidR="00282435" w:rsidRPr="00BC6E73" w:rsidRDefault="00282435" w:rsidP="00864FAD">
      <w:pPr>
        <w:tabs>
          <w:tab w:val="clear" w:pos="567"/>
          <w:tab w:val="clear" w:pos="1134"/>
          <w:tab w:val="clear" w:pos="1701"/>
          <w:tab w:val="clear" w:pos="5670"/>
          <w:tab w:val="clear" w:pos="9072"/>
        </w:tabs>
        <w:spacing w:after="0" w:line="259" w:lineRule="auto"/>
        <w:rPr>
          <w:rFonts w:asciiTheme="minorHAnsi" w:eastAsiaTheme="minorHAnsi" w:hAnsiTheme="minorHAnsi" w:cstheme="minorHAnsi"/>
          <w:b/>
          <w:szCs w:val="22"/>
        </w:rPr>
      </w:pPr>
      <w:r w:rsidRPr="00282435">
        <w:rPr>
          <w:rFonts w:asciiTheme="minorHAnsi" w:eastAsiaTheme="minorHAnsi" w:hAnsiTheme="minorHAnsi" w:cstheme="minorHAnsi"/>
          <w:b/>
          <w:szCs w:val="22"/>
        </w:rPr>
        <w:t xml:space="preserve">Responsibilities </w:t>
      </w:r>
    </w:p>
    <w:p w:rsidR="00864FAD" w:rsidRPr="00282435" w:rsidRDefault="00864FAD" w:rsidP="00864FAD">
      <w:pPr>
        <w:tabs>
          <w:tab w:val="clear" w:pos="567"/>
          <w:tab w:val="clear" w:pos="1134"/>
          <w:tab w:val="clear" w:pos="1701"/>
          <w:tab w:val="clear" w:pos="5670"/>
          <w:tab w:val="clear" w:pos="9072"/>
        </w:tabs>
        <w:spacing w:after="0" w:line="259" w:lineRule="auto"/>
        <w:rPr>
          <w:rFonts w:asciiTheme="minorHAnsi" w:eastAsiaTheme="minorHAnsi" w:hAnsiTheme="minorHAnsi" w:cstheme="minorHAnsi"/>
          <w:b/>
          <w:szCs w:val="22"/>
        </w:rPr>
      </w:pPr>
    </w:p>
    <w:p w:rsidR="00282435" w:rsidRPr="00282435" w:rsidRDefault="00282435" w:rsidP="00282435">
      <w:pPr>
        <w:numPr>
          <w:ilvl w:val="0"/>
          <w:numId w:val="25"/>
        </w:numPr>
        <w:tabs>
          <w:tab w:val="clear" w:pos="567"/>
          <w:tab w:val="clear" w:pos="1134"/>
          <w:tab w:val="clear" w:pos="1701"/>
          <w:tab w:val="clear" w:pos="5670"/>
          <w:tab w:val="clear" w:pos="9072"/>
        </w:tabs>
        <w:spacing w:after="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b/>
          <w:szCs w:val="22"/>
        </w:rPr>
        <w:t>Heads of department</w:t>
      </w:r>
      <w:r w:rsidRPr="00282435">
        <w:rPr>
          <w:rFonts w:asciiTheme="minorHAnsi" w:eastAsiaTheme="minorHAnsi" w:hAnsiTheme="minorHAnsi" w:cstheme="minorHAnsi"/>
          <w:szCs w:val="22"/>
        </w:rPr>
        <w:t xml:space="preserve"> are responsible for ensuring these actions are implemented. </w:t>
      </w:r>
    </w:p>
    <w:p w:rsidR="00282435" w:rsidRPr="00282435" w:rsidRDefault="00282435" w:rsidP="00282435">
      <w:pPr>
        <w:numPr>
          <w:ilvl w:val="0"/>
          <w:numId w:val="25"/>
        </w:numPr>
        <w:tabs>
          <w:tab w:val="clear" w:pos="567"/>
          <w:tab w:val="clear" w:pos="1134"/>
          <w:tab w:val="clear" w:pos="1701"/>
          <w:tab w:val="clear" w:pos="5670"/>
          <w:tab w:val="clear" w:pos="9072"/>
        </w:tabs>
        <w:spacing w:after="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b/>
          <w:szCs w:val="22"/>
        </w:rPr>
        <w:t xml:space="preserve">Supervisors </w:t>
      </w:r>
      <w:r w:rsidRPr="00282435">
        <w:rPr>
          <w:rFonts w:asciiTheme="minorHAnsi" w:eastAsiaTheme="minorHAnsi" w:hAnsiTheme="minorHAnsi" w:cstheme="minorHAnsi"/>
          <w:szCs w:val="22"/>
        </w:rPr>
        <w:t xml:space="preserve">are responsible for implementing them within their areas of control. </w:t>
      </w:r>
    </w:p>
    <w:p w:rsidR="00282435" w:rsidRPr="00282435" w:rsidRDefault="00282435" w:rsidP="00282435">
      <w:pPr>
        <w:numPr>
          <w:ilvl w:val="0"/>
          <w:numId w:val="25"/>
        </w:numPr>
        <w:tabs>
          <w:tab w:val="clear" w:pos="567"/>
          <w:tab w:val="clear" w:pos="1134"/>
          <w:tab w:val="clear" w:pos="1701"/>
          <w:tab w:val="clear" w:pos="5670"/>
          <w:tab w:val="clear" w:pos="9072"/>
        </w:tabs>
        <w:spacing w:after="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b/>
          <w:szCs w:val="22"/>
        </w:rPr>
        <w:t xml:space="preserve">Departmental </w:t>
      </w:r>
      <w:r w:rsidR="00BC6E73" w:rsidRPr="00BC6E73">
        <w:rPr>
          <w:rFonts w:asciiTheme="minorHAnsi" w:eastAsiaTheme="minorHAnsi" w:hAnsiTheme="minorHAnsi" w:cstheme="minorHAnsi"/>
          <w:b/>
          <w:szCs w:val="22"/>
        </w:rPr>
        <w:t>s</w:t>
      </w:r>
      <w:r w:rsidRPr="00282435">
        <w:rPr>
          <w:rFonts w:asciiTheme="minorHAnsi" w:eastAsiaTheme="minorHAnsi" w:hAnsiTheme="minorHAnsi" w:cstheme="minorHAnsi"/>
          <w:b/>
          <w:szCs w:val="22"/>
        </w:rPr>
        <w:t xml:space="preserve">afety </w:t>
      </w:r>
      <w:r w:rsidR="00BC6E73" w:rsidRPr="00BC6E73">
        <w:rPr>
          <w:rFonts w:asciiTheme="minorHAnsi" w:eastAsiaTheme="minorHAnsi" w:hAnsiTheme="minorHAnsi" w:cstheme="minorHAnsi"/>
          <w:b/>
          <w:szCs w:val="22"/>
        </w:rPr>
        <w:t>o</w:t>
      </w:r>
      <w:r w:rsidRPr="00282435">
        <w:rPr>
          <w:rFonts w:asciiTheme="minorHAnsi" w:eastAsiaTheme="minorHAnsi" w:hAnsiTheme="minorHAnsi" w:cstheme="minorHAnsi"/>
          <w:b/>
          <w:szCs w:val="22"/>
        </w:rPr>
        <w:t>fficers</w:t>
      </w:r>
      <w:r w:rsidRPr="00282435">
        <w:rPr>
          <w:rFonts w:asciiTheme="minorHAnsi" w:eastAsiaTheme="minorHAnsi" w:hAnsiTheme="minorHAnsi" w:cstheme="minorHAnsi"/>
          <w:szCs w:val="22"/>
        </w:rPr>
        <w:t xml:space="preserve"> should support their </w:t>
      </w:r>
      <w:r w:rsidR="00864FAD" w:rsidRPr="00BC6E73">
        <w:rPr>
          <w:rFonts w:asciiTheme="minorHAnsi" w:eastAsiaTheme="minorHAnsi" w:hAnsiTheme="minorHAnsi" w:cstheme="minorHAnsi"/>
          <w:szCs w:val="22"/>
        </w:rPr>
        <w:t>head of d</w:t>
      </w:r>
      <w:r w:rsidRPr="00282435">
        <w:rPr>
          <w:rFonts w:asciiTheme="minorHAnsi" w:eastAsiaTheme="minorHAnsi" w:hAnsiTheme="minorHAnsi" w:cstheme="minorHAnsi"/>
          <w:szCs w:val="22"/>
        </w:rPr>
        <w:t>epartment and supervisors by providing advice and helping to coordinate or oversee the actions.</w:t>
      </w:r>
    </w:p>
    <w:p w:rsidR="00282435" w:rsidRPr="00282435" w:rsidRDefault="00282435" w:rsidP="00282435">
      <w:pPr>
        <w:tabs>
          <w:tab w:val="clear" w:pos="567"/>
          <w:tab w:val="clear" w:pos="1134"/>
          <w:tab w:val="clear" w:pos="1701"/>
          <w:tab w:val="clear" w:pos="5670"/>
          <w:tab w:val="clear" w:pos="9072"/>
        </w:tabs>
        <w:spacing w:after="0"/>
        <w:rPr>
          <w:rFonts w:asciiTheme="minorHAnsi" w:eastAsiaTheme="minorHAnsi" w:hAnsiTheme="minorHAnsi" w:cstheme="minorHAnsi"/>
          <w:szCs w:val="22"/>
        </w:rPr>
      </w:pP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szCs w:val="22"/>
        </w:rPr>
      </w:pPr>
      <w:r w:rsidRPr="00282435">
        <w:rPr>
          <w:rFonts w:asciiTheme="minorHAnsi" w:eastAsiaTheme="minorHAnsi" w:hAnsiTheme="minorHAnsi" w:cstheme="minorHAnsi"/>
          <w:b/>
          <w:szCs w:val="22"/>
        </w:rPr>
        <w:t>How to identify HAV equipment</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Examples of equipment used in the University might include: hand-held drills, chipping hammers, sanders, grinders, disc cutters, chainsaws, brush cutters, hedge trimmers, and powered mowers. There may be equipment not immediately obvious such as hand-held vortex machines used in laboratories and pressure washers used for cleaning. Vibration can also be transmitted when workers hold work pieces which vibrate while being processed by powered machinery</w:t>
      </w:r>
      <w:r w:rsidR="00BC6E73"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such as pedestal grinders. Grounds management, workshops, facilities management, caretaker and maintenance activities are examples of work that can be expected to use HAV equipment. More information can be found at </w:t>
      </w:r>
      <w:hyperlink r:id="rId9" w:anchor="problem" w:history="1">
        <w:r w:rsidRPr="00BC6E73">
          <w:rPr>
            <w:rFonts w:asciiTheme="minorHAnsi" w:eastAsiaTheme="minorHAnsi" w:hAnsiTheme="minorHAnsi" w:cstheme="minorHAnsi"/>
            <w:color w:val="0563C1"/>
            <w:szCs w:val="22"/>
            <w:u w:val="single"/>
          </w:rPr>
          <w:t>Hand arm vibration - Advice to Employers (hse.gov.uk)</w:t>
        </w:r>
      </w:hyperlink>
      <w:r w:rsidRPr="00282435">
        <w:rPr>
          <w:rFonts w:asciiTheme="minorHAnsi" w:eastAsiaTheme="minorHAnsi" w:hAnsiTheme="minorHAnsi" w:cstheme="minorHAnsi"/>
          <w:szCs w:val="22"/>
        </w:rPr>
        <w:t>.</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szCs w:val="22"/>
        </w:rPr>
      </w:pPr>
      <w:r w:rsidRPr="00282435">
        <w:rPr>
          <w:rFonts w:asciiTheme="minorHAnsi" w:eastAsiaTheme="minorHAnsi" w:hAnsiTheme="minorHAnsi" w:cstheme="minorHAnsi"/>
          <w:b/>
          <w:szCs w:val="22"/>
        </w:rPr>
        <w:t xml:space="preserve">Assessing the risks </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The level of exposure to vibration is a combination of the amount of vibration the equipment produces (vibration magnitude) and the time the equipment is used for (trigger time). Trigger time is a key factor in assessing the risk. The effect of trigger time can be illustrated when considering two different pieces of equipment: a drill and a strimmer.  A drill tends to be used for a few seconds at a time and used occasionally or a few times throughout the day (depending</w:t>
      </w:r>
      <w:r w:rsidR="00BC6E73"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of course</w:t>
      </w:r>
      <w:r w:rsidR="00BC6E73"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on the jobs in hand), where as a strimmer would be more routinely used for prolonged periods.  The strimmer will </w:t>
      </w:r>
      <w:r w:rsidRPr="00282435">
        <w:rPr>
          <w:rFonts w:asciiTheme="minorHAnsi" w:eastAsiaTheme="minorHAnsi" w:hAnsiTheme="minorHAnsi" w:cstheme="minorHAnsi"/>
          <w:i/>
          <w:szCs w:val="22"/>
        </w:rPr>
        <w:t>generally</w:t>
      </w:r>
      <w:r w:rsidRPr="00282435">
        <w:rPr>
          <w:rFonts w:asciiTheme="minorHAnsi" w:eastAsiaTheme="minorHAnsi" w:hAnsiTheme="minorHAnsi" w:cstheme="minorHAnsi"/>
          <w:szCs w:val="22"/>
        </w:rPr>
        <w:t xml:space="preserve"> present a much higher risk when considering the trigger time and it will be more important that the vibration magnitude it produces is low.   </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 xml:space="preserve">The Vibration Regulations include an exposure action value (EAV) and an exposure limit value (ELV) based on a combination of the vibration at the grip point(s) on the equipment or work-piece and the time spent gripping it. The exposure action and limit values are: </w:t>
      </w:r>
    </w:p>
    <w:p w:rsidR="00282435" w:rsidRPr="00282435" w:rsidRDefault="00282435" w:rsidP="00282435">
      <w:pPr>
        <w:numPr>
          <w:ilvl w:val="0"/>
          <w:numId w:val="14"/>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szCs w:val="22"/>
        </w:rPr>
        <w:t xml:space="preserve">a daily EAV of 2.5 m/s2 A(8) that represents a clear risk requiring management; and </w:t>
      </w:r>
    </w:p>
    <w:p w:rsidR="00282435" w:rsidRPr="00282435" w:rsidRDefault="00282435" w:rsidP="00282435">
      <w:pPr>
        <w:numPr>
          <w:ilvl w:val="0"/>
          <w:numId w:val="14"/>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szCs w:val="22"/>
        </w:rPr>
        <w:t>a daily ELV of 5 m/s2 A(8) that represents a high risk above which employees should not be exposed.</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 xml:space="preserve">These values are cumulative during the day, so account needs to be taken of different pieces of HAV equipment used throughout that day. </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lastRenderedPageBreak/>
        <w:t xml:space="preserve">The vibration magnitude of a piece of equipment should be provided by manufacturers. Typical values can also be found in the HSE guidance </w:t>
      </w:r>
      <w:hyperlink r:id="rId10" w:history="1">
        <w:r w:rsidRPr="00BC6E73">
          <w:rPr>
            <w:rFonts w:asciiTheme="minorHAnsi" w:eastAsiaTheme="minorHAnsi" w:hAnsiTheme="minorHAnsi" w:cstheme="minorHAnsi"/>
            <w:color w:val="0563C1"/>
            <w:szCs w:val="22"/>
            <w:u w:val="single"/>
          </w:rPr>
          <w:t>Microsoft Word - Sources of vibration magnitude data - word version - webpage (hse.gov.uk)</w:t>
        </w:r>
      </w:hyperlink>
      <w:r w:rsidRPr="00282435">
        <w:rPr>
          <w:rFonts w:asciiTheme="minorHAnsi" w:eastAsiaTheme="minorHAnsi" w:hAnsiTheme="minorHAnsi" w:cstheme="minorHAnsi"/>
          <w:szCs w:val="22"/>
        </w:rPr>
        <w:t xml:space="preserve">. It should be noted that these values assume equipment is well maintained and serviced, in accordance with manufacturer’s instructions; poor maintenance of equipment can significantly increase the vibration produced. </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Once you have the vibration magnitude you can use the simple exposure points system to gauge whether you might have a problem.</w:t>
      </w:r>
    </w:p>
    <w:p w:rsidR="00282435" w:rsidRPr="00282435" w:rsidRDefault="00282435" w:rsidP="00282435">
      <w:pPr>
        <w:tabs>
          <w:tab w:val="clear" w:pos="567"/>
          <w:tab w:val="clear" w:pos="1134"/>
          <w:tab w:val="clear" w:pos="1701"/>
          <w:tab w:val="clear" w:pos="5670"/>
          <w:tab w:val="clear" w:pos="9072"/>
        </w:tabs>
        <w:spacing w:after="120"/>
        <w:outlineLvl w:val="2"/>
        <w:rPr>
          <w:rFonts w:asciiTheme="minorHAnsi" w:hAnsiTheme="minorHAnsi" w:cstheme="minorHAnsi"/>
          <w:b/>
          <w:bCs/>
          <w:color w:val="000000"/>
          <w:szCs w:val="22"/>
          <w:lang w:eastAsia="en-GB"/>
        </w:rPr>
      </w:pPr>
    </w:p>
    <w:p w:rsidR="00282435" w:rsidRPr="00282435" w:rsidRDefault="00282435" w:rsidP="00282435">
      <w:pPr>
        <w:tabs>
          <w:tab w:val="clear" w:pos="567"/>
          <w:tab w:val="clear" w:pos="1134"/>
          <w:tab w:val="clear" w:pos="1701"/>
          <w:tab w:val="clear" w:pos="5670"/>
          <w:tab w:val="clear" w:pos="9072"/>
        </w:tabs>
        <w:spacing w:after="120"/>
        <w:outlineLvl w:val="2"/>
        <w:rPr>
          <w:rFonts w:asciiTheme="minorHAnsi" w:hAnsiTheme="minorHAnsi" w:cstheme="minorHAnsi"/>
          <w:b/>
          <w:bCs/>
          <w:color w:val="000000"/>
          <w:szCs w:val="22"/>
          <w:lang w:eastAsia="en-GB"/>
        </w:rPr>
      </w:pPr>
      <w:r w:rsidRPr="00282435">
        <w:rPr>
          <w:rFonts w:asciiTheme="minorHAnsi" w:hAnsiTheme="minorHAnsi" w:cstheme="minorHAnsi"/>
          <w:b/>
          <w:bCs/>
          <w:color w:val="000000"/>
          <w:szCs w:val="22"/>
          <w:lang w:eastAsia="en-GB"/>
        </w:rPr>
        <w:t>Simple 'exposure points' system</w:t>
      </w:r>
    </w:p>
    <w:tbl>
      <w:tblPr>
        <w:tblW w:w="0" w:type="auto"/>
        <w:tblInd w:w="15" w:type="dxa"/>
        <w:tblCellMar>
          <w:left w:w="0" w:type="dxa"/>
          <w:right w:w="0" w:type="dxa"/>
        </w:tblCellMar>
        <w:tblLook w:val="04A0" w:firstRow="1" w:lastRow="0" w:firstColumn="1" w:lastColumn="0" w:noHBand="0" w:noVBand="1"/>
      </w:tblPr>
      <w:tblGrid>
        <w:gridCol w:w="3159"/>
        <w:gridCol w:w="674"/>
        <w:gridCol w:w="674"/>
        <w:gridCol w:w="674"/>
        <w:gridCol w:w="674"/>
        <w:gridCol w:w="785"/>
        <w:gridCol w:w="785"/>
        <w:gridCol w:w="785"/>
        <w:gridCol w:w="785"/>
      </w:tblGrid>
      <w:tr w:rsidR="00282435" w:rsidRPr="00282435" w:rsidTr="001C2B02">
        <w:tc>
          <w:tcPr>
            <w:tcW w:w="0" w:type="auto"/>
            <w:tcBorders>
              <w:top w:val="single" w:sz="6" w:space="0" w:color="787878"/>
              <w:left w:val="single" w:sz="6" w:space="0" w:color="787878"/>
              <w:bottom w:val="single" w:sz="6" w:space="0" w:color="787878"/>
              <w:right w:val="single" w:sz="6" w:space="0" w:color="787878"/>
            </w:tcBorders>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b/>
                <w:bCs/>
                <w:color w:val="111111"/>
                <w:szCs w:val="22"/>
                <w:lang w:eastAsia="en-GB"/>
              </w:rPr>
            </w:pPr>
            <w:r w:rsidRPr="00282435">
              <w:rPr>
                <w:rFonts w:asciiTheme="minorHAnsi" w:hAnsiTheme="minorHAnsi" w:cstheme="minorHAnsi"/>
                <w:b/>
                <w:bCs/>
                <w:color w:val="111111"/>
                <w:szCs w:val="22"/>
                <w:lang w:eastAsia="en-GB"/>
              </w:rPr>
              <w:t>Tool vibration (m/s</w:t>
            </w:r>
            <w:r w:rsidRPr="00282435">
              <w:rPr>
                <w:rFonts w:asciiTheme="minorHAnsi" w:hAnsiTheme="minorHAnsi" w:cstheme="minorHAnsi"/>
                <w:b/>
                <w:bCs/>
                <w:color w:val="111111"/>
                <w:szCs w:val="22"/>
                <w:bdr w:val="none" w:sz="0" w:space="0" w:color="auto" w:frame="1"/>
                <w:vertAlign w:val="superscript"/>
                <w:lang w:eastAsia="en-GB"/>
              </w:rPr>
              <w:t>2</w:t>
            </w:r>
            <w:r w:rsidRPr="00282435">
              <w:rPr>
                <w:rFonts w:asciiTheme="minorHAnsi" w:hAnsiTheme="minorHAnsi" w:cstheme="minorHAnsi"/>
                <w:b/>
                <w:bCs/>
                <w:color w:val="111111"/>
                <w:szCs w:val="22"/>
                <w:lang w:eastAsia="en-GB"/>
              </w:rPr>
              <w:t>)</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3</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4</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5</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6</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7</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10</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12</w:t>
            </w:r>
          </w:p>
        </w:tc>
        <w:tc>
          <w:tcPr>
            <w:tcW w:w="0" w:type="auto"/>
            <w:tcBorders>
              <w:top w:val="single" w:sz="6" w:space="0" w:color="787878"/>
              <w:left w:val="single" w:sz="6" w:space="0" w:color="787878"/>
              <w:bottom w:val="single" w:sz="6" w:space="0" w:color="787878"/>
              <w:right w:val="single" w:sz="6" w:space="0" w:color="787878"/>
            </w:tcBorders>
            <w:shd w:val="clear" w:color="auto" w:fill="EDEDED"/>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15</w:t>
            </w:r>
          </w:p>
        </w:tc>
      </w:tr>
      <w:tr w:rsidR="00282435" w:rsidRPr="00282435" w:rsidTr="001C2B02">
        <w:tc>
          <w:tcPr>
            <w:tcW w:w="0" w:type="auto"/>
            <w:tcBorders>
              <w:top w:val="single" w:sz="6" w:space="0" w:color="787878"/>
              <w:left w:val="single" w:sz="6" w:space="0" w:color="787878"/>
              <w:bottom w:val="single" w:sz="6" w:space="0" w:color="787878"/>
              <w:right w:val="single" w:sz="6" w:space="0" w:color="787878"/>
            </w:tcBorders>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b/>
                <w:bCs/>
                <w:color w:val="111111"/>
                <w:szCs w:val="22"/>
                <w:lang w:eastAsia="en-GB"/>
              </w:rPr>
            </w:pPr>
            <w:r w:rsidRPr="00282435">
              <w:rPr>
                <w:rFonts w:asciiTheme="minorHAnsi" w:hAnsiTheme="minorHAnsi" w:cstheme="minorHAnsi"/>
                <w:b/>
                <w:bCs/>
                <w:color w:val="111111"/>
                <w:szCs w:val="22"/>
                <w:lang w:eastAsia="en-GB"/>
              </w:rPr>
              <w:t>Points per hour (approximate)</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20</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30</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50</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70</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100</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200</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300</w:t>
            </w:r>
          </w:p>
        </w:tc>
        <w:tc>
          <w:tcPr>
            <w:tcW w:w="0" w:type="auto"/>
            <w:tcBorders>
              <w:top w:val="single" w:sz="6" w:space="0" w:color="787878"/>
              <w:left w:val="single" w:sz="6" w:space="0" w:color="787878"/>
              <w:bottom w:val="single" w:sz="6" w:space="0" w:color="787878"/>
              <w:right w:val="single" w:sz="6" w:space="0" w:color="787878"/>
            </w:tcBorders>
            <w:shd w:val="clear" w:color="auto" w:fill="E0E0E0"/>
            <w:tcMar>
              <w:top w:w="150" w:type="dxa"/>
              <w:left w:w="150" w:type="dxa"/>
              <w:bottom w:w="150" w:type="dxa"/>
              <w:right w:w="300" w:type="dxa"/>
            </w:tcMar>
            <w:vAlign w:val="bottom"/>
            <w:hideMark/>
          </w:tcPr>
          <w:p w:rsidR="00282435" w:rsidRPr="00282435" w:rsidRDefault="00282435" w:rsidP="00282435">
            <w:pPr>
              <w:tabs>
                <w:tab w:val="clear" w:pos="567"/>
                <w:tab w:val="clear" w:pos="1134"/>
                <w:tab w:val="clear" w:pos="1701"/>
                <w:tab w:val="clear" w:pos="5670"/>
                <w:tab w:val="clear" w:pos="9072"/>
              </w:tabs>
              <w:spacing w:after="0"/>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450</w:t>
            </w:r>
          </w:p>
        </w:tc>
      </w:tr>
    </w:tbl>
    <w:p w:rsidR="00BC6E73" w:rsidRPr="00BC6E73" w:rsidRDefault="00BC6E73" w:rsidP="00282435">
      <w:pPr>
        <w:tabs>
          <w:tab w:val="clear" w:pos="567"/>
          <w:tab w:val="clear" w:pos="1134"/>
          <w:tab w:val="clear" w:pos="1701"/>
          <w:tab w:val="clear" w:pos="5670"/>
          <w:tab w:val="clear" w:pos="9072"/>
        </w:tabs>
        <w:textAlignment w:val="baseline"/>
        <w:rPr>
          <w:rFonts w:asciiTheme="minorHAnsi" w:hAnsiTheme="minorHAnsi" w:cstheme="minorHAnsi"/>
          <w:color w:val="111111"/>
          <w:szCs w:val="22"/>
          <w:lang w:eastAsia="en-GB"/>
        </w:rPr>
      </w:pPr>
    </w:p>
    <w:p w:rsidR="00282435" w:rsidRPr="00282435" w:rsidRDefault="00282435" w:rsidP="00282435">
      <w:pPr>
        <w:tabs>
          <w:tab w:val="clear" w:pos="567"/>
          <w:tab w:val="clear" w:pos="1134"/>
          <w:tab w:val="clear" w:pos="1701"/>
          <w:tab w:val="clear" w:pos="5670"/>
          <w:tab w:val="clear" w:pos="9072"/>
        </w:tabs>
        <w:textAlignment w:val="baseline"/>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Multiply the points assigned to the tool vibration by the number of hours of daily 'trigger time' for the tool(s) and then compare the total with the exposure action value (EAV) and exposure limit value (ELV) points.</w:t>
      </w:r>
    </w:p>
    <w:p w:rsidR="00282435" w:rsidRPr="00282435" w:rsidRDefault="00282435" w:rsidP="00282435">
      <w:pPr>
        <w:tabs>
          <w:tab w:val="clear" w:pos="567"/>
          <w:tab w:val="clear" w:pos="1134"/>
          <w:tab w:val="clear" w:pos="1701"/>
          <w:tab w:val="clear" w:pos="5670"/>
          <w:tab w:val="clear" w:pos="9072"/>
        </w:tabs>
        <w:textAlignment w:val="baseline"/>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100 points per day = exposure action value (EAV)</w:t>
      </w:r>
    </w:p>
    <w:p w:rsidR="00282435" w:rsidRPr="00282435" w:rsidRDefault="00282435" w:rsidP="00282435">
      <w:pPr>
        <w:tabs>
          <w:tab w:val="clear" w:pos="567"/>
          <w:tab w:val="clear" w:pos="1134"/>
          <w:tab w:val="clear" w:pos="1701"/>
          <w:tab w:val="clear" w:pos="5670"/>
          <w:tab w:val="clear" w:pos="9072"/>
        </w:tabs>
        <w:textAlignment w:val="baseline"/>
        <w:rPr>
          <w:rFonts w:asciiTheme="minorHAnsi" w:hAnsiTheme="minorHAnsi" w:cstheme="minorHAnsi"/>
          <w:color w:val="111111"/>
          <w:szCs w:val="22"/>
          <w:lang w:eastAsia="en-GB"/>
        </w:rPr>
      </w:pPr>
      <w:r w:rsidRPr="00282435">
        <w:rPr>
          <w:rFonts w:asciiTheme="minorHAnsi" w:hAnsiTheme="minorHAnsi" w:cstheme="minorHAnsi"/>
          <w:color w:val="111111"/>
          <w:szCs w:val="22"/>
          <w:lang w:eastAsia="en-GB"/>
        </w:rPr>
        <w:t>400 points per day = exposure limit value (ELV)</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szCs w:val="22"/>
        </w:rPr>
        <w:t>If daily exposure is approaching (or exceeding) the EAV</w:t>
      </w:r>
      <w:r w:rsidRPr="00282435">
        <w:rPr>
          <w:rFonts w:asciiTheme="minorHAnsi" w:eastAsiaTheme="minorHAnsi" w:hAnsiTheme="minorHAnsi" w:cstheme="minorHAnsi"/>
          <w:szCs w:val="22"/>
        </w:rPr>
        <w:t xml:space="preserve"> departments will need to work out more accurate figures using the HSE exposure calculator, </w:t>
      </w:r>
      <w:hyperlink r:id="rId11" w:history="1">
        <w:r w:rsidRPr="00BC6E73">
          <w:rPr>
            <w:rFonts w:asciiTheme="minorHAnsi" w:eastAsiaTheme="minorHAnsi" w:hAnsiTheme="minorHAnsi" w:cstheme="minorHAnsi"/>
            <w:color w:val="0563C1"/>
            <w:szCs w:val="22"/>
            <w:u w:val="single"/>
          </w:rPr>
          <w:t>Hand arm vibration - Exposure Calculator (hse.gov.uk)</w:t>
        </w:r>
      </w:hyperlink>
      <w:r w:rsidRPr="00282435">
        <w:rPr>
          <w:rFonts w:asciiTheme="minorHAnsi" w:eastAsiaTheme="minorHAnsi" w:hAnsiTheme="minorHAnsi" w:cstheme="minorHAnsi"/>
          <w:szCs w:val="22"/>
        </w:rPr>
        <w:t>. Departments will need to:</w:t>
      </w:r>
    </w:p>
    <w:p w:rsidR="00282435" w:rsidRPr="00282435" w:rsidRDefault="00282435" w:rsidP="00282435">
      <w:pPr>
        <w:numPr>
          <w:ilvl w:val="0"/>
          <w:numId w:val="15"/>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b/>
          <w:szCs w:val="22"/>
        </w:rPr>
      </w:pPr>
      <w:r w:rsidRPr="00282435">
        <w:rPr>
          <w:rFonts w:asciiTheme="minorHAnsi" w:eastAsiaTheme="minorHAnsi" w:hAnsiTheme="minorHAnsi" w:cstheme="minorHAnsi"/>
          <w:szCs w:val="22"/>
        </w:rPr>
        <w:t xml:space="preserve">put in place a programme of organisational and technical measures to reduce exposure to as low as reasonably practical; </w:t>
      </w:r>
    </w:p>
    <w:p w:rsidR="00282435" w:rsidRPr="00282435" w:rsidRDefault="00282435" w:rsidP="00282435">
      <w:pPr>
        <w:numPr>
          <w:ilvl w:val="0"/>
          <w:numId w:val="15"/>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szCs w:val="22"/>
        </w:rPr>
        <w:t xml:space="preserve">ensure staff are </w:t>
      </w:r>
      <w:hyperlink r:id="rId12" w:history="1">
        <w:r w:rsidRPr="00BC6E73">
          <w:rPr>
            <w:rFonts w:asciiTheme="minorHAnsi" w:eastAsiaTheme="minorHAnsi" w:hAnsiTheme="minorHAnsi" w:cstheme="minorHAnsi"/>
            <w:color w:val="0563C1"/>
            <w:szCs w:val="22"/>
            <w:u w:val="single"/>
          </w:rPr>
          <w:t>registered for health surveillance with the Occupational Health Service</w:t>
        </w:r>
      </w:hyperlink>
      <w:r w:rsidRPr="00282435">
        <w:rPr>
          <w:rFonts w:asciiTheme="minorHAnsi" w:eastAsiaTheme="minorHAnsi" w:hAnsiTheme="minorHAnsi" w:cstheme="minorHAnsi"/>
          <w:szCs w:val="22"/>
        </w:rPr>
        <w:t>;</w:t>
      </w:r>
    </w:p>
    <w:p w:rsidR="00282435" w:rsidRPr="00BC6E73" w:rsidRDefault="00282435" w:rsidP="00282435">
      <w:pPr>
        <w:numPr>
          <w:ilvl w:val="0"/>
          <w:numId w:val="15"/>
        </w:numPr>
        <w:tabs>
          <w:tab w:val="clear" w:pos="567"/>
          <w:tab w:val="clear" w:pos="1134"/>
          <w:tab w:val="clear" w:pos="1701"/>
          <w:tab w:val="clear" w:pos="5670"/>
          <w:tab w:val="clear" w:pos="9072"/>
        </w:tabs>
        <w:spacing w:after="160" w:line="259" w:lineRule="auto"/>
        <w:contextualSpacing/>
        <w:rPr>
          <w:rFonts w:asciiTheme="minorHAnsi" w:eastAsiaTheme="minorHAnsi" w:hAnsiTheme="minorHAnsi" w:cstheme="minorHAnsi"/>
          <w:szCs w:val="22"/>
        </w:rPr>
      </w:pPr>
      <w:r w:rsidRPr="00282435">
        <w:rPr>
          <w:rFonts w:asciiTheme="minorHAnsi" w:eastAsiaTheme="minorHAnsi" w:hAnsiTheme="minorHAnsi" w:cstheme="minorHAnsi"/>
          <w:szCs w:val="22"/>
        </w:rPr>
        <w:t xml:space="preserve">ensure staff receive suitable  information, instruction and training on the risks and control measures. The following information will be helpful: </w:t>
      </w:r>
      <w:hyperlink r:id="rId13" w:history="1">
        <w:r w:rsidRPr="00BC6E73">
          <w:rPr>
            <w:rFonts w:asciiTheme="minorHAnsi" w:eastAsiaTheme="minorHAnsi" w:hAnsiTheme="minorHAnsi" w:cstheme="minorHAnsi"/>
            <w:color w:val="0563C1"/>
            <w:szCs w:val="22"/>
            <w:u w:val="single"/>
          </w:rPr>
          <w:t>Safety Office E-Learning course</w:t>
        </w:r>
      </w:hyperlink>
      <w:r w:rsidRPr="00282435">
        <w:rPr>
          <w:rFonts w:asciiTheme="minorHAnsi" w:eastAsiaTheme="minorHAnsi" w:hAnsiTheme="minorHAnsi" w:cstheme="minorHAnsi"/>
          <w:color w:val="FF0000"/>
          <w:szCs w:val="22"/>
        </w:rPr>
        <w:t xml:space="preserve"> </w:t>
      </w:r>
      <w:r w:rsidRPr="00282435">
        <w:rPr>
          <w:rFonts w:asciiTheme="minorHAnsi" w:eastAsiaTheme="minorHAnsi" w:hAnsiTheme="minorHAnsi" w:cstheme="minorHAnsi"/>
          <w:szCs w:val="22"/>
        </w:rPr>
        <w:t xml:space="preserve">and HSE guidance </w:t>
      </w:r>
      <w:hyperlink r:id="rId14" w:history="1">
        <w:r w:rsidRPr="00BC6E73">
          <w:rPr>
            <w:rFonts w:asciiTheme="minorHAnsi" w:eastAsiaTheme="minorHAnsi" w:hAnsiTheme="minorHAnsi" w:cstheme="minorHAnsi"/>
            <w:color w:val="0563C1"/>
            <w:szCs w:val="22"/>
            <w:u w:val="single"/>
          </w:rPr>
          <w:t>Hand arm vibration - Advice for employees (indg296 - rev1) (hse.gov.uk)</w:t>
        </w:r>
      </w:hyperlink>
      <w:r w:rsidRPr="00BC6E73">
        <w:rPr>
          <w:rFonts w:asciiTheme="minorHAnsi" w:eastAsiaTheme="minorHAnsi" w:hAnsiTheme="minorHAnsi" w:cstheme="minorHAnsi"/>
          <w:color w:val="0563C1"/>
          <w:szCs w:val="22"/>
          <w:u w:val="single"/>
        </w:rPr>
        <w:t>.</w:t>
      </w:r>
    </w:p>
    <w:p w:rsidR="00BC6E73" w:rsidRPr="00282435" w:rsidRDefault="00BC6E73" w:rsidP="00BC6E73">
      <w:pPr>
        <w:tabs>
          <w:tab w:val="clear" w:pos="567"/>
          <w:tab w:val="clear" w:pos="1134"/>
          <w:tab w:val="clear" w:pos="1701"/>
          <w:tab w:val="clear" w:pos="5670"/>
          <w:tab w:val="clear" w:pos="9072"/>
        </w:tabs>
        <w:spacing w:after="160" w:line="259" w:lineRule="auto"/>
        <w:ind w:left="720"/>
        <w:contextualSpacing/>
        <w:rPr>
          <w:rFonts w:asciiTheme="minorHAnsi" w:eastAsiaTheme="minorHAnsi" w:hAnsiTheme="minorHAnsi" w:cstheme="minorHAnsi"/>
          <w:szCs w:val="22"/>
        </w:rPr>
      </w:pP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Control measures will include selecting the correct equipment, ensuring it is serviced and maintained, having a regular replacement policy, scheduling work</w:t>
      </w:r>
      <w:r w:rsidR="00BC6E73" w:rsidRPr="00BC6E73">
        <w:rPr>
          <w:rFonts w:asciiTheme="minorHAnsi" w:eastAsiaTheme="minorHAnsi" w:hAnsiTheme="minorHAnsi" w:cstheme="minorHAnsi"/>
          <w:szCs w:val="22"/>
        </w:rPr>
        <w:t xml:space="preserve"> to keep exposure below the EAV</w:t>
      </w:r>
      <w:r w:rsidRPr="00282435">
        <w:rPr>
          <w:rFonts w:asciiTheme="minorHAnsi" w:eastAsiaTheme="minorHAnsi" w:hAnsiTheme="minorHAnsi" w:cstheme="minorHAnsi"/>
          <w:szCs w:val="22"/>
        </w:rPr>
        <w:t xml:space="preserve"> and providing suitable gloves</w:t>
      </w:r>
      <w:r w:rsidR="00BC6E73"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where appropriate</w:t>
      </w:r>
      <w:r w:rsidR="00BC6E73"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to keep hands warm.  Full information on the range of control measures to be considered and implemented are contained in </w:t>
      </w:r>
      <w:r w:rsidRPr="00282435">
        <w:rPr>
          <w:rFonts w:asciiTheme="minorHAnsi" w:eastAsiaTheme="minorHAnsi" w:hAnsiTheme="minorHAnsi" w:cstheme="minorHAnsi"/>
          <w:b/>
          <w:szCs w:val="22"/>
        </w:rPr>
        <w:t>Appendix A</w:t>
      </w:r>
      <w:r w:rsidRPr="00282435">
        <w:rPr>
          <w:rFonts w:asciiTheme="minorHAnsi" w:eastAsiaTheme="minorHAnsi" w:hAnsiTheme="minorHAnsi" w:cstheme="minorHAnsi"/>
          <w:szCs w:val="22"/>
        </w:rPr>
        <w:t>.</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Even if exposure does not approach the EAV, departments should still look to eliminate exposure to hand-arm vibration at source, or where this is not reasonably practicable</w:t>
      </w:r>
      <w:r w:rsidR="00BC6E73" w:rsidRPr="00BC6E73">
        <w:rPr>
          <w:rFonts w:asciiTheme="minorHAnsi" w:eastAsiaTheme="minorHAnsi" w:hAnsiTheme="minorHAnsi" w:cstheme="minorHAnsi"/>
          <w:szCs w:val="22"/>
        </w:rPr>
        <w:t>,</w:t>
      </w:r>
      <w:r w:rsidRPr="00282435">
        <w:rPr>
          <w:rFonts w:asciiTheme="minorHAnsi" w:eastAsiaTheme="minorHAnsi" w:hAnsiTheme="minorHAnsi" w:cstheme="minorHAnsi"/>
          <w:szCs w:val="22"/>
        </w:rPr>
        <w:t xml:space="preserve"> reduce exposure to as low a level as is reasonably practicable. </w:t>
      </w:r>
    </w:p>
    <w:p w:rsidR="00864FAD" w:rsidRPr="00BC6E73" w:rsidRDefault="00864FAD" w:rsidP="00864FAD">
      <w:pPr>
        <w:jc w:val="both"/>
        <w:rPr>
          <w:rFonts w:asciiTheme="minorHAnsi" w:hAnsiTheme="minorHAnsi" w:cstheme="minorHAnsi"/>
          <w:szCs w:val="22"/>
        </w:rPr>
      </w:pPr>
      <w:r w:rsidRPr="00BC6E73">
        <w:rPr>
          <w:rFonts w:asciiTheme="minorHAnsi" w:hAnsiTheme="minorHAnsi" w:cstheme="minorHAnsi"/>
          <w:szCs w:val="22"/>
        </w:rPr>
        <w:t xml:space="preserve">7 July 2021 </w:t>
      </w:r>
      <w:r w:rsidRPr="00BC6E73">
        <w:rPr>
          <w:rFonts w:asciiTheme="minorHAnsi" w:hAnsiTheme="minorHAnsi" w:cstheme="minorHAnsi"/>
          <w:szCs w:val="22"/>
        </w:rPr>
        <w:tab/>
      </w:r>
      <w:r w:rsidRPr="00BC6E73">
        <w:rPr>
          <w:rFonts w:asciiTheme="minorHAnsi" w:hAnsiTheme="minorHAnsi" w:cstheme="minorHAnsi"/>
          <w:szCs w:val="22"/>
        </w:rPr>
        <w:tab/>
      </w:r>
      <w:r w:rsidRPr="00BC6E73">
        <w:rPr>
          <w:rFonts w:asciiTheme="minorHAnsi" w:hAnsiTheme="minorHAnsi" w:cstheme="minorHAnsi"/>
          <w:szCs w:val="22"/>
        </w:rPr>
        <w:tab/>
      </w:r>
      <w:r w:rsidRPr="00BC6E73">
        <w:rPr>
          <w:rFonts w:asciiTheme="minorHAnsi" w:hAnsiTheme="minorHAnsi" w:cstheme="minorHAnsi"/>
          <w:szCs w:val="22"/>
        </w:rPr>
        <w:tab/>
        <w:t>Dr C Williams</w:t>
      </w:r>
    </w:p>
    <w:p w:rsidR="00864FAD" w:rsidRPr="00BC6E73" w:rsidRDefault="00864FAD" w:rsidP="00864FAD">
      <w:pPr>
        <w:jc w:val="both"/>
        <w:rPr>
          <w:rFonts w:asciiTheme="minorHAnsi" w:hAnsiTheme="minorHAnsi" w:cstheme="minorHAnsi"/>
          <w:b/>
          <w:szCs w:val="22"/>
        </w:rPr>
      </w:pPr>
      <w:r w:rsidRPr="00BC6E73">
        <w:rPr>
          <w:rFonts w:asciiTheme="minorHAnsi" w:hAnsiTheme="minorHAnsi" w:cstheme="minorHAnsi"/>
          <w:szCs w:val="22"/>
        </w:rPr>
        <w:t>CIRC: A, C, H, MPLS, O, S: Heads, Admins, DSOs1, DSOs2, List V</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szCs w:val="22"/>
        </w:rPr>
      </w:pPr>
    </w:p>
    <w:p w:rsidR="00282435" w:rsidRPr="00282435" w:rsidRDefault="00282435" w:rsidP="00BC6E73">
      <w:pPr>
        <w:tabs>
          <w:tab w:val="clear" w:pos="567"/>
          <w:tab w:val="clear" w:pos="1134"/>
          <w:tab w:val="clear" w:pos="1701"/>
          <w:tab w:val="clear" w:pos="5670"/>
          <w:tab w:val="clear" w:pos="9072"/>
        </w:tabs>
        <w:spacing w:after="160" w:line="259" w:lineRule="auto"/>
        <w:ind w:left="5040" w:firstLine="720"/>
        <w:rPr>
          <w:rFonts w:asciiTheme="minorHAnsi" w:eastAsiaTheme="minorHAnsi" w:hAnsiTheme="minorHAnsi" w:cstheme="minorHAnsi"/>
          <w:b/>
          <w:szCs w:val="22"/>
        </w:rPr>
      </w:pPr>
      <w:r w:rsidRPr="00282435">
        <w:rPr>
          <w:rFonts w:asciiTheme="minorHAnsi" w:eastAsiaTheme="minorHAnsi" w:hAnsiTheme="minorHAnsi" w:cstheme="minorHAnsi"/>
          <w:b/>
          <w:szCs w:val="22"/>
        </w:rPr>
        <w:lastRenderedPageBreak/>
        <w:t xml:space="preserve">Appendix A: </w:t>
      </w:r>
      <w:r w:rsidR="00864FAD" w:rsidRPr="00BC6E73">
        <w:rPr>
          <w:rFonts w:asciiTheme="minorHAnsi" w:eastAsiaTheme="minorHAnsi" w:hAnsiTheme="minorHAnsi" w:cstheme="minorHAnsi"/>
          <w:b/>
          <w:szCs w:val="22"/>
        </w:rPr>
        <w:t>c</w:t>
      </w:r>
      <w:r w:rsidRPr="00282435">
        <w:rPr>
          <w:rFonts w:asciiTheme="minorHAnsi" w:eastAsiaTheme="minorHAnsi" w:hAnsiTheme="minorHAnsi" w:cstheme="minorHAnsi"/>
          <w:b/>
          <w:szCs w:val="22"/>
        </w:rPr>
        <w:t xml:space="preserve">ontrol </w:t>
      </w:r>
      <w:r w:rsidR="00864FAD" w:rsidRPr="00BC6E73">
        <w:rPr>
          <w:rFonts w:asciiTheme="minorHAnsi" w:eastAsiaTheme="minorHAnsi" w:hAnsiTheme="minorHAnsi" w:cstheme="minorHAnsi"/>
          <w:b/>
          <w:szCs w:val="22"/>
        </w:rPr>
        <w:t>m</w:t>
      </w:r>
      <w:r w:rsidRPr="00282435">
        <w:rPr>
          <w:rFonts w:asciiTheme="minorHAnsi" w:eastAsiaTheme="minorHAnsi" w:hAnsiTheme="minorHAnsi" w:cstheme="minorHAnsi"/>
          <w:b/>
          <w:szCs w:val="22"/>
        </w:rPr>
        <w:t xml:space="preserve">easures </w:t>
      </w:r>
    </w:p>
    <w:p w:rsidR="00864FAD" w:rsidRPr="00BC6E73" w:rsidRDefault="00864FAD"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bCs/>
          <w:szCs w:val="22"/>
        </w:rPr>
      </w:pP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bCs/>
          <w:szCs w:val="22"/>
        </w:rPr>
      </w:pPr>
      <w:r w:rsidRPr="00282435">
        <w:rPr>
          <w:rFonts w:asciiTheme="minorHAnsi" w:eastAsiaTheme="minorHAnsi" w:hAnsiTheme="minorHAnsi" w:cstheme="minorHAnsi"/>
          <w:b/>
          <w:bCs/>
          <w:szCs w:val="22"/>
        </w:rPr>
        <w:t>Alternative work methods</w:t>
      </w:r>
    </w:p>
    <w:p w:rsidR="00282435" w:rsidRPr="00282435" w:rsidRDefault="00282435" w:rsidP="00282435">
      <w:pPr>
        <w:numPr>
          <w:ilvl w:val="0"/>
          <w:numId w:val="16"/>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Look for alternative work methods that eliminate or reduce exposure to vibration. Trade associations, other industry contacts, equipment suppliers and trade journals may help you identify good practice in your industry.</w:t>
      </w:r>
    </w:p>
    <w:p w:rsidR="00282435" w:rsidRPr="00282435" w:rsidRDefault="00282435" w:rsidP="00282435">
      <w:pPr>
        <w:numPr>
          <w:ilvl w:val="0"/>
          <w:numId w:val="16"/>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Mechanise or automate the work.</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bCs/>
          <w:szCs w:val="22"/>
        </w:rPr>
        <w:t>Example:</w:t>
      </w:r>
      <w:r w:rsidRPr="00282435">
        <w:rPr>
          <w:rFonts w:asciiTheme="minorHAnsi" w:eastAsiaTheme="minorHAnsi" w:hAnsiTheme="minorHAnsi" w:cstheme="minorHAnsi"/>
          <w:szCs w:val="22"/>
        </w:rPr>
        <w:t> </w:t>
      </w:r>
      <w:r w:rsidR="00864FAD" w:rsidRPr="00BC6E73">
        <w:rPr>
          <w:rFonts w:asciiTheme="minorHAnsi" w:eastAsiaTheme="minorHAnsi" w:hAnsiTheme="minorHAnsi" w:cstheme="minorHAnsi"/>
          <w:szCs w:val="22"/>
        </w:rPr>
        <w:t>u</w:t>
      </w:r>
      <w:r w:rsidRPr="00282435">
        <w:rPr>
          <w:rFonts w:asciiTheme="minorHAnsi" w:eastAsiaTheme="minorHAnsi" w:hAnsiTheme="minorHAnsi" w:cstheme="minorHAnsi"/>
          <w:szCs w:val="22"/>
        </w:rPr>
        <w:t>se a breaker attachment on an excavating machine to break concrete rather than using a hand-held breaker.</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bCs/>
          <w:szCs w:val="22"/>
        </w:rPr>
      </w:pPr>
      <w:r w:rsidRPr="00282435">
        <w:rPr>
          <w:rFonts w:asciiTheme="minorHAnsi" w:eastAsiaTheme="minorHAnsi" w:hAnsiTheme="minorHAnsi" w:cstheme="minorHAnsi"/>
          <w:b/>
          <w:bCs/>
          <w:szCs w:val="22"/>
        </w:rPr>
        <w:t>Equipment selection</w:t>
      </w:r>
    </w:p>
    <w:p w:rsidR="00282435" w:rsidRPr="00282435" w:rsidRDefault="00282435" w:rsidP="00282435">
      <w:pPr>
        <w:numPr>
          <w:ilvl w:val="0"/>
          <w:numId w:val="17"/>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Make sure that equipment selected or allocated for tasks is suitable and can do the work efficiently. Equipment that is unsuitable, too small or not powerful enough is likely to take much longer to complete the task and expose employees to vibration for longer than is necessary.</w:t>
      </w:r>
    </w:p>
    <w:p w:rsidR="00282435" w:rsidRPr="00282435" w:rsidRDefault="00282435" w:rsidP="00282435">
      <w:pPr>
        <w:numPr>
          <w:ilvl w:val="0"/>
          <w:numId w:val="17"/>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Select the lowest vibration tool that is suitable and can do the work efficiently.</w:t>
      </w:r>
    </w:p>
    <w:p w:rsidR="00282435" w:rsidRPr="00282435" w:rsidRDefault="00282435" w:rsidP="00282435">
      <w:pPr>
        <w:numPr>
          <w:ilvl w:val="0"/>
          <w:numId w:val="17"/>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Limit the use of high-vibration tools wherever possible.</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bCs/>
          <w:szCs w:val="22"/>
        </w:rPr>
        <w:t>Example:</w:t>
      </w:r>
      <w:r w:rsidRPr="00282435">
        <w:rPr>
          <w:rFonts w:asciiTheme="minorHAnsi" w:eastAsiaTheme="minorHAnsi" w:hAnsiTheme="minorHAnsi" w:cstheme="minorHAnsi"/>
          <w:szCs w:val="22"/>
        </w:rPr>
        <w:t> </w:t>
      </w:r>
      <w:r w:rsidR="00BC6E73">
        <w:rPr>
          <w:rFonts w:asciiTheme="minorHAnsi" w:eastAsiaTheme="minorHAnsi" w:hAnsiTheme="minorHAnsi" w:cstheme="minorHAnsi"/>
          <w:szCs w:val="22"/>
        </w:rPr>
        <w:t>t</w:t>
      </w:r>
      <w:r w:rsidRPr="00282435">
        <w:rPr>
          <w:rFonts w:asciiTheme="minorHAnsi" w:eastAsiaTheme="minorHAnsi" w:hAnsiTheme="minorHAnsi" w:cstheme="minorHAnsi"/>
          <w:szCs w:val="22"/>
        </w:rPr>
        <w:t>o cut large holes in brickwork, use a diamond-tipped hole-cutting drill bit with a rotary action rather than a tungsten-tipped hole bit which requires rotary and hammer action.</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bCs/>
          <w:szCs w:val="22"/>
        </w:rPr>
      </w:pPr>
      <w:r w:rsidRPr="00282435">
        <w:rPr>
          <w:rFonts w:asciiTheme="minorHAnsi" w:eastAsiaTheme="minorHAnsi" w:hAnsiTheme="minorHAnsi" w:cstheme="minorHAnsi"/>
          <w:b/>
          <w:bCs/>
          <w:szCs w:val="22"/>
        </w:rPr>
        <w:t>Purchasing policy for replacing old equipment and tools</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szCs w:val="22"/>
        </w:rPr>
        <w:t>Work equipment is likely to be replaced o</w:t>
      </w:r>
      <w:r w:rsidR="00446B47">
        <w:rPr>
          <w:rFonts w:asciiTheme="minorHAnsi" w:eastAsiaTheme="minorHAnsi" w:hAnsiTheme="minorHAnsi" w:cstheme="minorHAnsi"/>
          <w:szCs w:val="22"/>
        </w:rPr>
        <w:t>ver time as it becomes worn out</w:t>
      </w:r>
      <w:r w:rsidRPr="00282435">
        <w:rPr>
          <w:rFonts w:asciiTheme="minorHAnsi" w:eastAsiaTheme="minorHAnsi" w:hAnsiTheme="minorHAnsi" w:cstheme="minorHAnsi"/>
          <w:szCs w:val="22"/>
        </w:rPr>
        <w:t xml:space="preserve"> and it is important that you choose replacements, so far as is reasonably practicable, which are suitable for the work, efficient and of lower vibration.</w:t>
      </w:r>
    </w:p>
    <w:p w:rsidR="00282435" w:rsidRPr="00282435" w:rsidRDefault="00282435" w:rsidP="00282435">
      <w:pPr>
        <w:numPr>
          <w:ilvl w:val="0"/>
          <w:numId w:val="18"/>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Discuss your requirements with a range of suppliers.</w:t>
      </w:r>
    </w:p>
    <w:p w:rsidR="00282435" w:rsidRPr="00282435" w:rsidRDefault="00282435" w:rsidP="00282435">
      <w:pPr>
        <w:numPr>
          <w:ilvl w:val="0"/>
          <w:numId w:val="18"/>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Check with suppliers that their equipment is suitable and will be effective for the work, compare vibration emission information for different brands/models of equipment, ask for vibration information for the wa</w:t>
      </w:r>
      <w:r w:rsidR="00446B47">
        <w:rPr>
          <w:rFonts w:asciiTheme="minorHAnsi" w:eastAsiaTheme="minorHAnsi" w:hAnsiTheme="minorHAnsi" w:cstheme="minorHAnsi"/>
          <w:szCs w:val="22"/>
        </w:rPr>
        <w:t>y you plan to use the equipment</w:t>
      </w:r>
      <w:r w:rsidRPr="00282435">
        <w:rPr>
          <w:rFonts w:asciiTheme="minorHAnsi" w:eastAsiaTheme="minorHAnsi" w:hAnsiTheme="minorHAnsi" w:cstheme="minorHAnsi"/>
          <w:szCs w:val="22"/>
        </w:rPr>
        <w:t xml:space="preserve"> and ask for information on any training requirements for safe operation.</w:t>
      </w:r>
    </w:p>
    <w:p w:rsidR="00282435" w:rsidRPr="00282435" w:rsidRDefault="00282435" w:rsidP="00282435">
      <w:pPr>
        <w:numPr>
          <w:ilvl w:val="0"/>
          <w:numId w:val="18"/>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Get your employees to try the different models and brands of equipment and take account of their opinions before you decide which to buy.</w:t>
      </w:r>
    </w:p>
    <w:p w:rsidR="00282435" w:rsidRPr="00282435" w:rsidRDefault="00282435" w:rsidP="00282435">
      <w:pPr>
        <w:numPr>
          <w:ilvl w:val="0"/>
          <w:numId w:val="18"/>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Find out about the equipment's vibration reduction features and how to use and maintain the equipment to make these features effective.</w:t>
      </w:r>
    </w:p>
    <w:p w:rsidR="00282435" w:rsidRPr="00282435" w:rsidRDefault="00282435" w:rsidP="00282435">
      <w:pPr>
        <w:numPr>
          <w:ilvl w:val="0"/>
          <w:numId w:val="18"/>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Make sure your organisation has a policy on purchasing suitable equipment, taking account of vibration emission, efficiency and your specific requirements.</w:t>
      </w:r>
    </w:p>
    <w:p w:rsidR="00282435" w:rsidRPr="00282435" w:rsidRDefault="00282435" w:rsidP="00282435">
      <w:pPr>
        <w:numPr>
          <w:ilvl w:val="0"/>
          <w:numId w:val="18"/>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Train purchasing staff on the issues relating to vibration so that they can deal effectively with equipment suppliers.</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bCs/>
          <w:szCs w:val="22"/>
        </w:rPr>
        <w:t>Example:</w:t>
      </w:r>
      <w:r w:rsidRPr="00282435">
        <w:rPr>
          <w:rFonts w:asciiTheme="minorHAnsi" w:eastAsiaTheme="minorHAnsi" w:hAnsiTheme="minorHAnsi" w:cstheme="minorHAnsi"/>
          <w:szCs w:val="22"/>
        </w:rPr>
        <w:t> If a breaker has vibration-isolating handles, check how the machine must be operated to ensure the reduced vibration levels are achieved in use and ensure your operators have the necessary training.</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bCs/>
          <w:szCs w:val="22"/>
        </w:rPr>
      </w:pPr>
      <w:r w:rsidRPr="00282435">
        <w:rPr>
          <w:rFonts w:asciiTheme="minorHAnsi" w:eastAsiaTheme="minorHAnsi" w:hAnsiTheme="minorHAnsi" w:cstheme="minorHAnsi"/>
          <w:b/>
          <w:bCs/>
          <w:szCs w:val="22"/>
        </w:rPr>
        <w:t>Workstation design</w:t>
      </w:r>
    </w:p>
    <w:p w:rsidR="00282435" w:rsidRPr="00282435" w:rsidRDefault="00282435" w:rsidP="00282435">
      <w:pPr>
        <w:numPr>
          <w:ilvl w:val="0"/>
          <w:numId w:val="19"/>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Improve the design of workstations to minimise loads on employees' hands, wrists and arms caused by poor posture.</w:t>
      </w:r>
    </w:p>
    <w:p w:rsidR="00282435" w:rsidRPr="00282435" w:rsidRDefault="00282435" w:rsidP="00282435">
      <w:pPr>
        <w:numPr>
          <w:ilvl w:val="0"/>
          <w:numId w:val="19"/>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Use devices such as jigs and suspension systems to reduce the need to grip heavy tools tightly.</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bCs/>
          <w:szCs w:val="22"/>
        </w:rPr>
        <w:t>Example:</w:t>
      </w:r>
      <w:r w:rsidR="00446B47">
        <w:rPr>
          <w:rFonts w:asciiTheme="minorHAnsi" w:eastAsiaTheme="minorHAnsi" w:hAnsiTheme="minorHAnsi" w:cstheme="minorHAnsi"/>
          <w:szCs w:val="22"/>
        </w:rPr>
        <w:t> w</w:t>
      </w:r>
      <w:r w:rsidRPr="00282435">
        <w:rPr>
          <w:rFonts w:asciiTheme="minorHAnsi" w:eastAsiaTheme="minorHAnsi" w:hAnsiTheme="minorHAnsi" w:cstheme="minorHAnsi"/>
          <w:szCs w:val="22"/>
        </w:rPr>
        <w:t>here a heavy grinder is used at a permanent workstation to do repetitive work, suspend it from a counterbalance system to reduce the load on the operator's arms and the tightness of grip needed.</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bCs/>
          <w:szCs w:val="22"/>
        </w:rPr>
        <w:t>Maintenance</w:t>
      </w:r>
    </w:p>
    <w:p w:rsidR="00282435" w:rsidRPr="00282435" w:rsidRDefault="00282435" w:rsidP="00282435">
      <w:pPr>
        <w:numPr>
          <w:ilvl w:val="0"/>
          <w:numId w:val="20"/>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Introduce appropriate maintenance programmes for your equipment to prevent avoidable increases in vibration (following the manufacturer's recommendations where appropriate).</w:t>
      </w:r>
    </w:p>
    <w:p w:rsidR="00282435" w:rsidRPr="00282435" w:rsidRDefault="00282435" w:rsidP="00282435">
      <w:pPr>
        <w:numPr>
          <w:ilvl w:val="0"/>
          <w:numId w:val="20"/>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Do not use blunt or damaged concrete breaker and chipping hammer chisels and replace consumable items such as grinding wheels, so that equipment is efficient and keeps employee exposure as short as possible.</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bCs/>
          <w:szCs w:val="22"/>
        </w:rPr>
        <w:t>Example:</w:t>
      </w:r>
      <w:r w:rsidRPr="00282435">
        <w:rPr>
          <w:rFonts w:asciiTheme="minorHAnsi" w:eastAsiaTheme="minorHAnsi" w:hAnsiTheme="minorHAnsi" w:cstheme="minorHAnsi"/>
          <w:szCs w:val="22"/>
        </w:rPr>
        <w:t> </w:t>
      </w:r>
      <w:r w:rsidR="00446B47">
        <w:rPr>
          <w:rFonts w:asciiTheme="minorHAnsi" w:eastAsiaTheme="minorHAnsi" w:hAnsiTheme="minorHAnsi" w:cstheme="minorHAnsi"/>
          <w:szCs w:val="22"/>
        </w:rPr>
        <w:t>c</w:t>
      </w:r>
      <w:r w:rsidRPr="00282435">
        <w:rPr>
          <w:rFonts w:asciiTheme="minorHAnsi" w:eastAsiaTheme="minorHAnsi" w:hAnsiTheme="minorHAnsi" w:cstheme="minorHAnsi"/>
          <w:szCs w:val="22"/>
        </w:rPr>
        <w:t>heck and sharpen chainsaw teeth regularly (following the manufacturer's recommendations) to maintain the chainsaw's efficiency and to reduce the time it takes to complete the work.</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bCs/>
          <w:szCs w:val="22"/>
        </w:rPr>
      </w:pPr>
      <w:r w:rsidRPr="00282435">
        <w:rPr>
          <w:rFonts w:asciiTheme="minorHAnsi" w:eastAsiaTheme="minorHAnsi" w:hAnsiTheme="minorHAnsi" w:cstheme="minorHAnsi"/>
          <w:b/>
          <w:bCs/>
          <w:szCs w:val="22"/>
        </w:rPr>
        <w:t>Work schedules</w:t>
      </w:r>
    </w:p>
    <w:p w:rsidR="00282435" w:rsidRPr="00282435" w:rsidRDefault="00282435" w:rsidP="00282435">
      <w:pPr>
        <w:numPr>
          <w:ilvl w:val="0"/>
          <w:numId w:val="21"/>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Limit the time that your employees are exposed to vibration.</w:t>
      </w:r>
    </w:p>
    <w:p w:rsidR="00282435" w:rsidRPr="00282435" w:rsidRDefault="00282435" w:rsidP="00282435">
      <w:pPr>
        <w:numPr>
          <w:ilvl w:val="0"/>
          <w:numId w:val="21"/>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Plan work to avoid individuals being exposed to vibration for long, continuous periods – several shorter periods are preferable.</w:t>
      </w:r>
    </w:p>
    <w:p w:rsidR="00282435" w:rsidRPr="00282435" w:rsidRDefault="00282435" w:rsidP="00282435">
      <w:pPr>
        <w:numPr>
          <w:ilvl w:val="0"/>
          <w:numId w:val="21"/>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Where tools require continual or frequent use, introduce employee rotas to limit exposure times (you should avoid employees being exposed for periods that are long enough to put them in the high risk group (above the ELV)').</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r w:rsidRPr="00282435">
        <w:rPr>
          <w:rFonts w:asciiTheme="minorHAnsi" w:eastAsiaTheme="minorHAnsi" w:hAnsiTheme="minorHAnsi" w:cstheme="minorHAnsi"/>
          <w:b/>
          <w:bCs/>
          <w:szCs w:val="22"/>
        </w:rPr>
        <w:t>Example:</w:t>
      </w:r>
      <w:r w:rsidRPr="00282435">
        <w:rPr>
          <w:rFonts w:asciiTheme="minorHAnsi" w:eastAsiaTheme="minorHAnsi" w:hAnsiTheme="minorHAnsi" w:cstheme="minorHAnsi"/>
          <w:szCs w:val="22"/>
        </w:rPr>
        <w:t> Organise employees to work in teams where they switch tasks within the team to avoid individuals having unnecessarily high exposure to vibration.</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b/>
          <w:bCs/>
          <w:szCs w:val="22"/>
        </w:rPr>
      </w:pPr>
      <w:r w:rsidRPr="00282435">
        <w:rPr>
          <w:rFonts w:asciiTheme="minorHAnsi" w:eastAsiaTheme="minorHAnsi" w:hAnsiTheme="minorHAnsi" w:cstheme="minorHAnsi"/>
          <w:b/>
          <w:bCs/>
          <w:szCs w:val="22"/>
        </w:rPr>
        <w:t>Clothing</w:t>
      </w:r>
    </w:p>
    <w:p w:rsidR="00282435" w:rsidRPr="00282435" w:rsidRDefault="00282435" w:rsidP="00282435">
      <w:pPr>
        <w:numPr>
          <w:ilvl w:val="0"/>
          <w:numId w:val="22"/>
        </w:numPr>
        <w:tabs>
          <w:tab w:val="clear" w:pos="567"/>
          <w:tab w:val="clear" w:pos="1134"/>
          <w:tab w:val="clear" w:pos="1701"/>
          <w:tab w:val="clear" w:pos="5670"/>
          <w:tab w:val="clear" w:pos="9072"/>
        </w:tabs>
        <w:spacing w:after="12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Provide your employees with protective clothing when necessary to keep them warm and dry. This will encourage good blood circulation which should help protect them from developing vibration white finger.</w:t>
      </w:r>
    </w:p>
    <w:p w:rsidR="00282435" w:rsidRPr="00282435" w:rsidRDefault="00282435" w:rsidP="005A1E25">
      <w:pPr>
        <w:numPr>
          <w:ilvl w:val="0"/>
          <w:numId w:val="22"/>
        </w:numPr>
        <w:tabs>
          <w:tab w:val="clear" w:pos="567"/>
          <w:tab w:val="clear" w:pos="1134"/>
          <w:tab w:val="clear" w:pos="1701"/>
          <w:tab w:val="clear" w:pos="5670"/>
          <w:tab w:val="clear" w:pos="9072"/>
        </w:tabs>
        <w:spacing w:after="160" w:line="259" w:lineRule="auto"/>
        <w:ind w:left="714" w:hanging="357"/>
        <w:rPr>
          <w:rFonts w:asciiTheme="minorHAnsi" w:eastAsiaTheme="minorHAnsi" w:hAnsiTheme="minorHAnsi" w:cstheme="minorHAnsi"/>
          <w:szCs w:val="22"/>
        </w:rPr>
      </w:pPr>
      <w:r w:rsidRPr="00282435">
        <w:rPr>
          <w:rFonts w:asciiTheme="minorHAnsi" w:eastAsiaTheme="minorHAnsi" w:hAnsiTheme="minorHAnsi" w:cstheme="minorHAnsi"/>
          <w:szCs w:val="22"/>
        </w:rPr>
        <w:t>Gloves can be used to keep hands warm, but should not be relied upon to provide protection from vibration.</w:t>
      </w:r>
    </w:p>
    <w:p w:rsidR="00282435" w:rsidRPr="00282435" w:rsidRDefault="00282435" w:rsidP="00282435">
      <w:pPr>
        <w:tabs>
          <w:tab w:val="clear" w:pos="567"/>
          <w:tab w:val="clear" w:pos="1134"/>
          <w:tab w:val="clear" w:pos="1701"/>
          <w:tab w:val="clear" w:pos="5670"/>
          <w:tab w:val="clear" w:pos="9072"/>
        </w:tabs>
        <w:spacing w:after="160" w:line="259" w:lineRule="auto"/>
        <w:rPr>
          <w:rFonts w:asciiTheme="minorHAnsi" w:eastAsiaTheme="minorHAnsi" w:hAnsiTheme="minorHAnsi" w:cstheme="minorHAnsi"/>
          <w:szCs w:val="22"/>
        </w:rPr>
      </w:pPr>
    </w:p>
    <w:sectPr w:rsidR="00282435" w:rsidRPr="00282435" w:rsidSect="002204F1">
      <w:headerReference w:type="default" r:id="rId15"/>
      <w:footerReference w:type="default" r:id="rId16"/>
      <w:headerReference w:type="first" r:id="rId17"/>
      <w:footerReference w:type="first" r:id="rId18"/>
      <w:footnotePr>
        <w:numRestart w:val="eachPage"/>
      </w:footnotePr>
      <w:pgSz w:w="11906" w:h="16838" w:code="9"/>
      <w:pgMar w:top="1134" w:right="1440" w:bottom="1134" w:left="1440"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E64" w:rsidRDefault="00AC1E64" w:rsidP="00503147">
      <w:pPr>
        <w:spacing w:after="0"/>
      </w:pPr>
      <w:r>
        <w:separator/>
      </w:r>
    </w:p>
  </w:endnote>
  <w:endnote w:type="continuationSeparator" w:id="0">
    <w:p w:rsidR="00AC1E64" w:rsidRDefault="00AC1E64" w:rsidP="005031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30C" w:rsidRDefault="00C9530C">
    <w:pPr>
      <w:pStyle w:val="Footer"/>
      <w:jc w:val="center"/>
    </w:pPr>
    <w:r>
      <w:fldChar w:fldCharType="begin"/>
    </w:r>
    <w:r>
      <w:instrText xml:space="preserve"> PAGE   \* MERGEFORMAT </w:instrText>
    </w:r>
    <w:r>
      <w:fldChar w:fldCharType="separate"/>
    </w:r>
    <w:r w:rsidR="0044373C">
      <w:rPr>
        <w:noProof/>
      </w:rPr>
      <w:t>2</w:t>
    </w:r>
    <w:r>
      <w:rPr>
        <w:noProof/>
      </w:rPr>
      <w:fldChar w:fldCharType="end"/>
    </w:r>
  </w:p>
  <w:p w:rsidR="00F060E3" w:rsidRDefault="00F0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6D0" w:rsidRDefault="00CA16D0" w:rsidP="00616C31">
    <w:pPr>
      <w:pStyle w:val="Footer"/>
    </w:pPr>
    <w:r>
      <w:t>General Enquiries Tel: +44 (0)1865 270811 Fax: +44 (0)1865 270816 Web: www.admin.ox.ac.uk/safety/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E64" w:rsidRDefault="00AC1E64" w:rsidP="00503147">
      <w:pPr>
        <w:spacing w:after="0"/>
      </w:pPr>
      <w:r>
        <w:separator/>
      </w:r>
    </w:p>
  </w:footnote>
  <w:footnote w:type="continuationSeparator" w:id="0">
    <w:p w:rsidR="00AC1E64" w:rsidRDefault="00AC1E64" w:rsidP="005031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6D0" w:rsidRDefault="00CA1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6D0" w:rsidRDefault="00BE0033">
    <w:pPr>
      <w:pStyle w:val="OXTITLE"/>
    </w:pPr>
    <w:r>
      <w:rPr>
        <w:noProof/>
      </w:rPr>
      <w:drawing>
        <wp:anchor distT="0" distB="0" distL="114300" distR="114300" simplePos="0" relativeHeight="251657728" behindDoc="0" locked="1" layoutInCell="1" allowOverlap="0">
          <wp:simplePos x="0" y="0"/>
          <wp:positionH relativeFrom="column">
            <wp:posOffset>4788535</wp:posOffset>
          </wp:positionH>
          <wp:positionV relativeFrom="page">
            <wp:posOffset>466725</wp:posOffset>
          </wp:positionV>
          <wp:extent cx="1152525" cy="1476375"/>
          <wp:effectExtent l="0" t="0" r="0" b="0"/>
          <wp:wrapSquare wrapText="left"/>
          <wp:docPr id="1" name="Picture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16D0">
      <w:t>UNIVERSITY SAFETY OFFICE</w:t>
    </w:r>
  </w:p>
  <w:p w:rsidR="00CA16D0" w:rsidRDefault="00CA16D0">
    <w:pPr>
      <w:pStyle w:val="OXADDRESS"/>
    </w:pPr>
    <w:r>
      <w:t xml:space="preserve">10 Parks Road, </w:t>
    </w:r>
    <w:r w:rsidR="00F00DBF">
      <w:t>Oxford, OX1</w:t>
    </w:r>
    <w:r>
      <w:rPr>
        <w:rStyle w:val="OXPOSTCODE"/>
      </w:rPr>
      <w:t xml:space="preserve"> 3PD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095"/>
    <w:multiLevelType w:val="hybridMultilevel"/>
    <w:tmpl w:val="5944D696"/>
    <w:lvl w:ilvl="0" w:tplc="A8C6317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E70D7"/>
    <w:multiLevelType w:val="hybridMultilevel"/>
    <w:tmpl w:val="F1889460"/>
    <w:lvl w:ilvl="0" w:tplc="C0D643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17428"/>
    <w:multiLevelType w:val="hybridMultilevel"/>
    <w:tmpl w:val="E0883ADA"/>
    <w:lvl w:ilvl="0" w:tplc="C0D643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62A1D"/>
    <w:multiLevelType w:val="hybridMultilevel"/>
    <w:tmpl w:val="A27E25E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476E1"/>
    <w:multiLevelType w:val="hybridMultilevel"/>
    <w:tmpl w:val="6A0E3CBA"/>
    <w:lvl w:ilvl="0" w:tplc="AC56D00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12C92"/>
    <w:multiLevelType w:val="hybridMultilevel"/>
    <w:tmpl w:val="4142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D25F2"/>
    <w:multiLevelType w:val="multilevel"/>
    <w:tmpl w:val="009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C2854"/>
    <w:multiLevelType w:val="hybridMultilevel"/>
    <w:tmpl w:val="CA6641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A534E4"/>
    <w:multiLevelType w:val="hybridMultilevel"/>
    <w:tmpl w:val="85987C9E"/>
    <w:lvl w:ilvl="0" w:tplc="A8C6317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6680B"/>
    <w:multiLevelType w:val="hybridMultilevel"/>
    <w:tmpl w:val="3F8681FA"/>
    <w:lvl w:ilvl="0" w:tplc="BCE06EA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10AEB"/>
    <w:multiLevelType w:val="hybridMultilevel"/>
    <w:tmpl w:val="096CBF26"/>
    <w:lvl w:ilvl="0" w:tplc="463016A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179B7"/>
    <w:multiLevelType w:val="multilevel"/>
    <w:tmpl w:val="4960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8566A"/>
    <w:multiLevelType w:val="multilevel"/>
    <w:tmpl w:val="F1C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366D9"/>
    <w:multiLevelType w:val="hybridMultilevel"/>
    <w:tmpl w:val="E14A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5602D"/>
    <w:multiLevelType w:val="hybridMultilevel"/>
    <w:tmpl w:val="B83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8149F"/>
    <w:multiLevelType w:val="hybridMultilevel"/>
    <w:tmpl w:val="8B98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35924"/>
    <w:multiLevelType w:val="hybridMultilevel"/>
    <w:tmpl w:val="0AA22B90"/>
    <w:lvl w:ilvl="0" w:tplc="A8C63176">
      <w:start w:val="1"/>
      <w:numFmt w:val="bullet"/>
      <w:lvlText w:val="•"/>
      <w:lvlJc w:val="left"/>
      <w:pPr>
        <w:tabs>
          <w:tab w:val="num" w:pos="720"/>
        </w:tabs>
        <w:ind w:left="720" w:hanging="360"/>
      </w:pPr>
      <w:rPr>
        <w:rFonts w:ascii="Arial" w:hAnsi="Arial" w:hint="default"/>
      </w:rPr>
    </w:lvl>
    <w:lvl w:ilvl="1" w:tplc="C9AA2C1E" w:tentative="1">
      <w:start w:val="1"/>
      <w:numFmt w:val="bullet"/>
      <w:lvlText w:val="•"/>
      <w:lvlJc w:val="left"/>
      <w:pPr>
        <w:tabs>
          <w:tab w:val="num" w:pos="1440"/>
        </w:tabs>
        <w:ind w:left="1440" w:hanging="360"/>
      </w:pPr>
      <w:rPr>
        <w:rFonts w:ascii="Arial" w:hAnsi="Arial" w:hint="default"/>
      </w:rPr>
    </w:lvl>
    <w:lvl w:ilvl="2" w:tplc="F3106DA0" w:tentative="1">
      <w:start w:val="1"/>
      <w:numFmt w:val="bullet"/>
      <w:lvlText w:val="•"/>
      <w:lvlJc w:val="left"/>
      <w:pPr>
        <w:tabs>
          <w:tab w:val="num" w:pos="2160"/>
        </w:tabs>
        <w:ind w:left="2160" w:hanging="360"/>
      </w:pPr>
      <w:rPr>
        <w:rFonts w:ascii="Arial" w:hAnsi="Arial" w:hint="default"/>
      </w:rPr>
    </w:lvl>
    <w:lvl w:ilvl="3" w:tplc="1DB28BB0" w:tentative="1">
      <w:start w:val="1"/>
      <w:numFmt w:val="bullet"/>
      <w:lvlText w:val="•"/>
      <w:lvlJc w:val="left"/>
      <w:pPr>
        <w:tabs>
          <w:tab w:val="num" w:pos="2880"/>
        </w:tabs>
        <w:ind w:left="2880" w:hanging="360"/>
      </w:pPr>
      <w:rPr>
        <w:rFonts w:ascii="Arial" w:hAnsi="Arial" w:hint="default"/>
      </w:rPr>
    </w:lvl>
    <w:lvl w:ilvl="4" w:tplc="4976AE5E" w:tentative="1">
      <w:start w:val="1"/>
      <w:numFmt w:val="bullet"/>
      <w:lvlText w:val="•"/>
      <w:lvlJc w:val="left"/>
      <w:pPr>
        <w:tabs>
          <w:tab w:val="num" w:pos="3600"/>
        </w:tabs>
        <w:ind w:left="3600" w:hanging="360"/>
      </w:pPr>
      <w:rPr>
        <w:rFonts w:ascii="Arial" w:hAnsi="Arial" w:hint="default"/>
      </w:rPr>
    </w:lvl>
    <w:lvl w:ilvl="5" w:tplc="007E2F94" w:tentative="1">
      <w:start w:val="1"/>
      <w:numFmt w:val="bullet"/>
      <w:lvlText w:val="•"/>
      <w:lvlJc w:val="left"/>
      <w:pPr>
        <w:tabs>
          <w:tab w:val="num" w:pos="4320"/>
        </w:tabs>
        <w:ind w:left="4320" w:hanging="360"/>
      </w:pPr>
      <w:rPr>
        <w:rFonts w:ascii="Arial" w:hAnsi="Arial" w:hint="default"/>
      </w:rPr>
    </w:lvl>
    <w:lvl w:ilvl="6" w:tplc="9B0491FE" w:tentative="1">
      <w:start w:val="1"/>
      <w:numFmt w:val="bullet"/>
      <w:lvlText w:val="•"/>
      <w:lvlJc w:val="left"/>
      <w:pPr>
        <w:tabs>
          <w:tab w:val="num" w:pos="5040"/>
        </w:tabs>
        <w:ind w:left="5040" w:hanging="360"/>
      </w:pPr>
      <w:rPr>
        <w:rFonts w:ascii="Arial" w:hAnsi="Arial" w:hint="default"/>
      </w:rPr>
    </w:lvl>
    <w:lvl w:ilvl="7" w:tplc="5E2425B8" w:tentative="1">
      <w:start w:val="1"/>
      <w:numFmt w:val="bullet"/>
      <w:lvlText w:val="•"/>
      <w:lvlJc w:val="left"/>
      <w:pPr>
        <w:tabs>
          <w:tab w:val="num" w:pos="5760"/>
        </w:tabs>
        <w:ind w:left="5760" w:hanging="360"/>
      </w:pPr>
      <w:rPr>
        <w:rFonts w:ascii="Arial" w:hAnsi="Arial" w:hint="default"/>
      </w:rPr>
    </w:lvl>
    <w:lvl w:ilvl="8" w:tplc="88827A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D95AFD"/>
    <w:multiLevelType w:val="multilevel"/>
    <w:tmpl w:val="C028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51D65"/>
    <w:multiLevelType w:val="multilevel"/>
    <w:tmpl w:val="C41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5090D"/>
    <w:multiLevelType w:val="hybridMultilevel"/>
    <w:tmpl w:val="D528F2B0"/>
    <w:lvl w:ilvl="0" w:tplc="A8C6317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D3657"/>
    <w:multiLevelType w:val="multilevel"/>
    <w:tmpl w:val="D12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F1405"/>
    <w:multiLevelType w:val="multilevel"/>
    <w:tmpl w:val="C22CB7B0"/>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7A17A6"/>
    <w:multiLevelType w:val="hybridMultilevel"/>
    <w:tmpl w:val="BE1E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F65D8"/>
    <w:multiLevelType w:val="multilevel"/>
    <w:tmpl w:val="9BC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7031E9"/>
    <w:multiLevelType w:val="hybridMultilevel"/>
    <w:tmpl w:val="EB825A0A"/>
    <w:lvl w:ilvl="0" w:tplc="A8C6317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2"/>
  </w:num>
  <w:num w:numId="5">
    <w:abstractNumId w:val="4"/>
  </w:num>
  <w:num w:numId="6">
    <w:abstractNumId w:val="22"/>
  </w:num>
  <w:num w:numId="7">
    <w:abstractNumId w:val="9"/>
  </w:num>
  <w:num w:numId="8">
    <w:abstractNumId w:val="21"/>
  </w:num>
  <w:num w:numId="9">
    <w:abstractNumId w:val="8"/>
  </w:num>
  <w:num w:numId="10">
    <w:abstractNumId w:val="0"/>
  </w:num>
  <w:num w:numId="11">
    <w:abstractNumId w:val="19"/>
  </w:num>
  <w:num w:numId="12">
    <w:abstractNumId w:val="24"/>
  </w:num>
  <w:num w:numId="13">
    <w:abstractNumId w:val="15"/>
  </w:num>
  <w:num w:numId="14">
    <w:abstractNumId w:val="13"/>
  </w:num>
  <w:num w:numId="15">
    <w:abstractNumId w:val="5"/>
  </w:num>
  <w:num w:numId="16">
    <w:abstractNumId w:val="12"/>
  </w:num>
  <w:num w:numId="17">
    <w:abstractNumId w:val="20"/>
  </w:num>
  <w:num w:numId="18">
    <w:abstractNumId w:val="23"/>
  </w:num>
  <w:num w:numId="19">
    <w:abstractNumId w:val="6"/>
  </w:num>
  <w:num w:numId="20">
    <w:abstractNumId w:val="18"/>
  </w:num>
  <w:num w:numId="21">
    <w:abstractNumId w:val="11"/>
  </w:num>
  <w:num w:numId="22">
    <w:abstractNumId w:val="17"/>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71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8C"/>
    <w:rsid w:val="00020ED2"/>
    <w:rsid w:val="0002475F"/>
    <w:rsid w:val="00027179"/>
    <w:rsid w:val="0002778C"/>
    <w:rsid w:val="0006081B"/>
    <w:rsid w:val="00080C8C"/>
    <w:rsid w:val="00091FF9"/>
    <w:rsid w:val="000E1C3D"/>
    <w:rsid w:val="000F4F65"/>
    <w:rsid w:val="001359E0"/>
    <w:rsid w:val="001501AB"/>
    <w:rsid w:val="00154A71"/>
    <w:rsid w:val="001579BB"/>
    <w:rsid w:val="00177385"/>
    <w:rsid w:val="00195E7E"/>
    <w:rsid w:val="001A212B"/>
    <w:rsid w:val="001B06AD"/>
    <w:rsid w:val="001C6294"/>
    <w:rsid w:val="001D5B80"/>
    <w:rsid w:val="001D7E4A"/>
    <w:rsid w:val="0020201E"/>
    <w:rsid w:val="00211129"/>
    <w:rsid w:val="002204F1"/>
    <w:rsid w:val="00224F59"/>
    <w:rsid w:val="00225C20"/>
    <w:rsid w:val="00233845"/>
    <w:rsid w:val="00247EDE"/>
    <w:rsid w:val="00254033"/>
    <w:rsid w:val="00271A84"/>
    <w:rsid w:val="002815D6"/>
    <w:rsid w:val="00282435"/>
    <w:rsid w:val="002B3A03"/>
    <w:rsid w:val="002C68BE"/>
    <w:rsid w:val="002D2502"/>
    <w:rsid w:val="00301A73"/>
    <w:rsid w:val="00361D01"/>
    <w:rsid w:val="00384DCB"/>
    <w:rsid w:val="00394AA0"/>
    <w:rsid w:val="003974E7"/>
    <w:rsid w:val="003B7506"/>
    <w:rsid w:val="003E1E92"/>
    <w:rsid w:val="004004C1"/>
    <w:rsid w:val="00407295"/>
    <w:rsid w:val="00420746"/>
    <w:rsid w:val="004260B4"/>
    <w:rsid w:val="00434498"/>
    <w:rsid w:val="0044373C"/>
    <w:rsid w:val="00446B47"/>
    <w:rsid w:val="00474D8F"/>
    <w:rsid w:val="00490CF4"/>
    <w:rsid w:val="004C6D48"/>
    <w:rsid w:val="004D257B"/>
    <w:rsid w:val="004F3A64"/>
    <w:rsid w:val="00503147"/>
    <w:rsid w:val="00510AF8"/>
    <w:rsid w:val="00523889"/>
    <w:rsid w:val="00570F6F"/>
    <w:rsid w:val="005A1A3F"/>
    <w:rsid w:val="005B0479"/>
    <w:rsid w:val="005F2D15"/>
    <w:rsid w:val="00616C31"/>
    <w:rsid w:val="00643C78"/>
    <w:rsid w:val="00662861"/>
    <w:rsid w:val="006726C6"/>
    <w:rsid w:val="00687E52"/>
    <w:rsid w:val="006A06E2"/>
    <w:rsid w:val="006B0B6B"/>
    <w:rsid w:val="006B41EA"/>
    <w:rsid w:val="006D556A"/>
    <w:rsid w:val="006E6F69"/>
    <w:rsid w:val="007065B2"/>
    <w:rsid w:val="007155FE"/>
    <w:rsid w:val="00716FD0"/>
    <w:rsid w:val="00720B69"/>
    <w:rsid w:val="007254ED"/>
    <w:rsid w:val="0072793D"/>
    <w:rsid w:val="007A5BE0"/>
    <w:rsid w:val="007C049D"/>
    <w:rsid w:val="007C15C2"/>
    <w:rsid w:val="007C4CD0"/>
    <w:rsid w:val="007D2CC2"/>
    <w:rsid w:val="0082091C"/>
    <w:rsid w:val="00827B79"/>
    <w:rsid w:val="00830DBA"/>
    <w:rsid w:val="00864FAD"/>
    <w:rsid w:val="0088217D"/>
    <w:rsid w:val="008902B0"/>
    <w:rsid w:val="00892598"/>
    <w:rsid w:val="0089442A"/>
    <w:rsid w:val="008966BB"/>
    <w:rsid w:val="0089719E"/>
    <w:rsid w:val="008A424F"/>
    <w:rsid w:val="008C1D84"/>
    <w:rsid w:val="009009BE"/>
    <w:rsid w:val="00930EBA"/>
    <w:rsid w:val="00940088"/>
    <w:rsid w:val="00941273"/>
    <w:rsid w:val="00980556"/>
    <w:rsid w:val="0099658C"/>
    <w:rsid w:val="009C48EA"/>
    <w:rsid w:val="009D6662"/>
    <w:rsid w:val="009F0EAC"/>
    <w:rsid w:val="00A03BC2"/>
    <w:rsid w:val="00A31DB7"/>
    <w:rsid w:val="00A33B56"/>
    <w:rsid w:val="00A53CE8"/>
    <w:rsid w:val="00A634C0"/>
    <w:rsid w:val="00A80C4C"/>
    <w:rsid w:val="00AA083E"/>
    <w:rsid w:val="00AB5677"/>
    <w:rsid w:val="00AC1E64"/>
    <w:rsid w:val="00AC4FA9"/>
    <w:rsid w:val="00B6664A"/>
    <w:rsid w:val="00B773BB"/>
    <w:rsid w:val="00B83789"/>
    <w:rsid w:val="00B94ED1"/>
    <w:rsid w:val="00BB093F"/>
    <w:rsid w:val="00BB71A5"/>
    <w:rsid w:val="00BC6E73"/>
    <w:rsid w:val="00BE0033"/>
    <w:rsid w:val="00BF2B67"/>
    <w:rsid w:val="00BF3D85"/>
    <w:rsid w:val="00BF7E01"/>
    <w:rsid w:val="00C04026"/>
    <w:rsid w:val="00C215A5"/>
    <w:rsid w:val="00C53BED"/>
    <w:rsid w:val="00C77399"/>
    <w:rsid w:val="00C9530C"/>
    <w:rsid w:val="00CA16D0"/>
    <w:rsid w:val="00CA46A7"/>
    <w:rsid w:val="00CB4B45"/>
    <w:rsid w:val="00CC1459"/>
    <w:rsid w:val="00CC31B2"/>
    <w:rsid w:val="00CD3377"/>
    <w:rsid w:val="00CE52FF"/>
    <w:rsid w:val="00D333B0"/>
    <w:rsid w:val="00D417D3"/>
    <w:rsid w:val="00D41D3F"/>
    <w:rsid w:val="00D829D2"/>
    <w:rsid w:val="00D9027A"/>
    <w:rsid w:val="00DA2350"/>
    <w:rsid w:val="00DB1759"/>
    <w:rsid w:val="00DC39B6"/>
    <w:rsid w:val="00DD7C37"/>
    <w:rsid w:val="00DE0A47"/>
    <w:rsid w:val="00DE1F64"/>
    <w:rsid w:val="00DE274F"/>
    <w:rsid w:val="00DF0C78"/>
    <w:rsid w:val="00DF466E"/>
    <w:rsid w:val="00DF51B9"/>
    <w:rsid w:val="00E04AAB"/>
    <w:rsid w:val="00E119F6"/>
    <w:rsid w:val="00E44EB3"/>
    <w:rsid w:val="00E57AA0"/>
    <w:rsid w:val="00E815E0"/>
    <w:rsid w:val="00E96969"/>
    <w:rsid w:val="00EA08DE"/>
    <w:rsid w:val="00EC7139"/>
    <w:rsid w:val="00EC773F"/>
    <w:rsid w:val="00EE3E59"/>
    <w:rsid w:val="00EF3542"/>
    <w:rsid w:val="00EF7907"/>
    <w:rsid w:val="00F006BF"/>
    <w:rsid w:val="00F00DBF"/>
    <w:rsid w:val="00F060E3"/>
    <w:rsid w:val="00F60B50"/>
    <w:rsid w:val="00F92438"/>
    <w:rsid w:val="00F96798"/>
    <w:rsid w:val="00FB7734"/>
    <w:rsid w:val="00FF0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2AF19B24-9308-4C32-BCE8-D4CA0A91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78C"/>
    <w:pPr>
      <w:tabs>
        <w:tab w:val="left" w:pos="567"/>
        <w:tab w:val="left" w:pos="1134"/>
        <w:tab w:val="left" w:pos="1701"/>
        <w:tab w:val="left" w:pos="5670"/>
        <w:tab w:val="right" w:pos="9072"/>
      </w:tabs>
      <w:spacing w:after="240"/>
    </w:pPr>
    <w:rPr>
      <w:rFonts w:ascii="Arial" w:eastAsia="Times New Roman" w:hAnsi="Arial"/>
      <w:sz w:val="22"/>
      <w:szCs w:val="24"/>
      <w:lang w:eastAsia="en-US"/>
    </w:rPr>
  </w:style>
  <w:style w:type="paragraph" w:styleId="Heading1">
    <w:name w:val="heading 1"/>
    <w:basedOn w:val="Normal"/>
    <w:next w:val="Normal"/>
    <w:link w:val="Heading1Char"/>
    <w:qFormat/>
    <w:rsid w:val="0002778C"/>
    <w:pPr>
      <w:keepNext/>
      <w:spacing w:before="360" w:after="120"/>
      <w:outlineLvl w:val="0"/>
    </w:pPr>
    <w:rPr>
      <w:rFonts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778C"/>
    <w:rPr>
      <w:rFonts w:ascii="Arial" w:eastAsia="Times New Roman" w:hAnsi="Arial" w:cs="Arial"/>
      <w:b/>
      <w:bCs/>
      <w:caps/>
      <w:kern w:val="32"/>
      <w:szCs w:val="32"/>
    </w:rPr>
  </w:style>
  <w:style w:type="paragraph" w:styleId="Header">
    <w:name w:val="header"/>
    <w:basedOn w:val="Normal"/>
    <w:link w:val="HeaderChar"/>
    <w:semiHidden/>
    <w:rsid w:val="0002778C"/>
    <w:pPr>
      <w:tabs>
        <w:tab w:val="clear" w:pos="567"/>
        <w:tab w:val="clear" w:pos="1134"/>
      </w:tabs>
      <w:spacing w:after="480"/>
    </w:pPr>
  </w:style>
  <w:style w:type="character" w:customStyle="1" w:styleId="HeaderChar">
    <w:name w:val="Header Char"/>
    <w:link w:val="Header"/>
    <w:semiHidden/>
    <w:rsid w:val="0002778C"/>
    <w:rPr>
      <w:rFonts w:ascii="Arial" w:eastAsia="Times New Roman" w:hAnsi="Arial" w:cs="Times New Roman"/>
      <w:szCs w:val="24"/>
    </w:rPr>
  </w:style>
  <w:style w:type="paragraph" w:styleId="Footer">
    <w:name w:val="footer"/>
    <w:basedOn w:val="Normal"/>
    <w:link w:val="FooterChar"/>
    <w:uiPriority w:val="99"/>
    <w:rsid w:val="0002778C"/>
    <w:pPr>
      <w:tabs>
        <w:tab w:val="clear" w:pos="567"/>
        <w:tab w:val="clear" w:pos="1134"/>
      </w:tabs>
      <w:spacing w:before="240" w:after="0" w:line="210" w:lineRule="exact"/>
    </w:pPr>
    <w:rPr>
      <w:sz w:val="18"/>
      <w:szCs w:val="18"/>
    </w:rPr>
  </w:style>
  <w:style w:type="character" w:customStyle="1" w:styleId="FooterChar">
    <w:name w:val="Footer Char"/>
    <w:link w:val="Footer"/>
    <w:uiPriority w:val="99"/>
    <w:rsid w:val="0002778C"/>
    <w:rPr>
      <w:rFonts w:ascii="Arial" w:eastAsia="Times New Roman" w:hAnsi="Arial" w:cs="Times New Roman"/>
      <w:sz w:val="18"/>
      <w:szCs w:val="18"/>
    </w:rPr>
  </w:style>
  <w:style w:type="paragraph" w:customStyle="1" w:styleId="LetterFrom">
    <w:name w:val="Letter From"/>
    <w:basedOn w:val="Normal"/>
    <w:next w:val="Normal"/>
    <w:rsid w:val="0002778C"/>
    <w:pPr>
      <w:spacing w:after="840"/>
    </w:pPr>
    <w:rPr>
      <w:szCs w:val="22"/>
    </w:rPr>
  </w:style>
  <w:style w:type="paragraph" w:customStyle="1" w:styleId="OXTITLE">
    <w:name w:val="OX TITLE"/>
    <w:rsid w:val="0002778C"/>
    <w:pPr>
      <w:tabs>
        <w:tab w:val="center" w:pos="4153"/>
        <w:tab w:val="right" w:pos="8306"/>
      </w:tabs>
      <w:spacing w:line="300" w:lineRule="exact"/>
    </w:pPr>
    <w:rPr>
      <w:rFonts w:ascii="Arial" w:eastAsia="Times New Roman" w:hAnsi="Arial"/>
      <w:caps/>
      <w:spacing w:val="6"/>
      <w:sz w:val="22"/>
      <w:szCs w:val="22"/>
    </w:rPr>
  </w:style>
  <w:style w:type="paragraph" w:customStyle="1" w:styleId="OXADDRESS">
    <w:name w:val="OX ADDRESS"/>
    <w:rsid w:val="0002778C"/>
    <w:pPr>
      <w:tabs>
        <w:tab w:val="center" w:pos="4153"/>
        <w:tab w:val="right" w:pos="8306"/>
      </w:tabs>
      <w:spacing w:line="240" w:lineRule="exact"/>
    </w:pPr>
    <w:rPr>
      <w:rFonts w:ascii="Arial" w:eastAsia="Times New Roman" w:hAnsi="Arial"/>
      <w:sz w:val="18"/>
      <w:szCs w:val="18"/>
    </w:rPr>
  </w:style>
  <w:style w:type="character" w:customStyle="1" w:styleId="OXPOSTCODE">
    <w:name w:val="OX POSTCODE"/>
    <w:rsid w:val="0002778C"/>
    <w:rPr>
      <w:rFonts w:ascii="Arial" w:hAnsi="Arial"/>
      <w:sz w:val="16"/>
      <w:szCs w:val="16"/>
      <w:lang w:val="en-GB" w:eastAsia="en-GB" w:bidi="ar-SA"/>
    </w:rPr>
  </w:style>
  <w:style w:type="character" w:customStyle="1" w:styleId="WebHidden">
    <w:name w:val="WebHidden"/>
    <w:basedOn w:val="DefaultParagraphFont"/>
    <w:rsid w:val="0002778C"/>
  </w:style>
  <w:style w:type="character" w:styleId="Emphasis">
    <w:name w:val="Emphasis"/>
    <w:uiPriority w:val="20"/>
    <w:qFormat/>
    <w:rsid w:val="0002778C"/>
    <w:rPr>
      <w:i/>
      <w:iCs/>
    </w:rPr>
  </w:style>
  <w:style w:type="paragraph" w:styleId="NoSpacing">
    <w:name w:val="No Spacing"/>
    <w:uiPriority w:val="1"/>
    <w:qFormat/>
    <w:rsid w:val="001359E0"/>
    <w:pPr>
      <w:tabs>
        <w:tab w:val="left" w:pos="567"/>
        <w:tab w:val="left" w:pos="1134"/>
        <w:tab w:val="left" w:pos="1701"/>
        <w:tab w:val="left" w:pos="5670"/>
        <w:tab w:val="right" w:pos="9072"/>
      </w:tabs>
    </w:pPr>
    <w:rPr>
      <w:rFonts w:ascii="Arial" w:eastAsia="Times New Roman" w:hAnsi="Arial"/>
      <w:sz w:val="22"/>
      <w:szCs w:val="24"/>
      <w:lang w:eastAsia="en-US"/>
    </w:rPr>
  </w:style>
  <w:style w:type="paragraph" w:styleId="ListParagraph">
    <w:name w:val="List Paragraph"/>
    <w:basedOn w:val="Normal"/>
    <w:uiPriority w:val="34"/>
    <w:qFormat/>
    <w:rsid w:val="00FB7734"/>
    <w:pPr>
      <w:tabs>
        <w:tab w:val="clear" w:pos="567"/>
        <w:tab w:val="clear" w:pos="1134"/>
        <w:tab w:val="clear" w:pos="1701"/>
        <w:tab w:val="clear" w:pos="5670"/>
        <w:tab w:val="clear" w:pos="9072"/>
      </w:tabs>
      <w:spacing w:after="0"/>
      <w:ind w:left="720" w:hanging="567"/>
      <w:contextualSpacing/>
      <w:jc w:val="both"/>
    </w:pPr>
    <w:rPr>
      <w:rFonts w:eastAsia="Calibri"/>
      <w:szCs w:val="22"/>
    </w:rPr>
  </w:style>
  <w:style w:type="character" w:styleId="Hyperlink">
    <w:name w:val="Hyperlink"/>
    <w:uiPriority w:val="99"/>
    <w:unhideWhenUsed/>
    <w:rsid w:val="00FB7734"/>
    <w:rPr>
      <w:color w:val="0000FF"/>
      <w:u w:val="single"/>
    </w:rPr>
  </w:style>
  <w:style w:type="paragraph" w:styleId="BalloonText">
    <w:name w:val="Balloon Text"/>
    <w:basedOn w:val="Normal"/>
    <w:semiHidden/>
    <w:rsid w:val="0002475F"/>
    <w:rPr>
      <w:rFonts w:ascii="Tahoma" w:hAnsi="Tahoma" w:cs="Tahoma"/>
      <w:sz w:val="16"/>
      <w:szCs w:val="16"/>
    </w:rPr>
  </w:style>
  <w:style w:type="paragraph" w:styleId="FootnoteText">
    <w:name w:val="footnote text"/>
    <w:basedOn w:val="Normal"/>
    <w:link w:val="FootnoteTextChar"/>
    <w:uiPriority w:val="99"/>
    <w:semiHidden/>
    <w:unhideWhenUsed/>
    <w:rsid w:val="00DF51B9"/>
    <w:pPr>
      <w:tabs>
        <w:tab w:val="clear" w:pos="567"/>
        <w:tab w:val="clear" w:pos="1134"/>
        <w:tab w:val="clear" w:pos="1701"/>
        <w:tab w:val="clear" w:pos="5670"/>
        <w:tab w:val="clear" w:pos="9072"/>
      </w:tabs>
      <w:spacing w:after="0"/>
    </w:pPr>
    <w:rPr>
      <w:rFonts w:ascii="Calibri" w:eastAsia="Calibri" w:hAnsi="Calibri"/>
      <w:sz w:val="20"/>
      <w:szCs w:val="20"/>
    </w:rPr>
  </w:style>
  <w:style w:type="character" w:customStyle="1" w:styleId="FootnoteTextChar">
    <w:name w:val="Footnote Text Char"/>
    <w:link w:val="FootnoteText"/>
    <w:uiPriority w:val="99"/>
    <w:semiHidden/>
    <w:rsid w:val="00DF51B9"/>
    <w:rPr>
      <w:lang w:eastAsia="en-US"/>
    </w:rPr>
  </w:style>
  <w:style w:type="character" w:styleId="FootnoteReference">
    <w:name w:val="footnote reference"/>
    <w:uiPriority w:val="99"/>
    <w:semiHidden/>
    <w:unhideWhenUsed/>
    <w:rsid w:val="00DF5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060750">
      <w:bodyDiv w:val="1"/>
      <w:marLeft w:val="0"/>
      <w:marRight w:val="255"/>
      <w:marTop w:val="0"/>
      <w:marBottom w:val="0"/>
      <w:divBdr>
        <w:top w:val="none" w:sz="0" w:space="0" w:color="auto"/>
        <w:left w:val="none" w:sz="0" w:space="0" w:color="auto"/>
        <w:bottom w:val="none" w:sz="0" w:space="0" w:color="auto"/>
        <w:right w:val="none" w:sz="0" w:space="0" w:color="auto"/>
      </w:divBdr>
      <w:divsChild>
        <w:div w:id="1228300096">
          <w:marLeft w:val="0"/>
          <w:marRight w:val="0"/>
          <w:marTop w:val="0"/>
          <w:marBottom w:val="0"/>
          <w:divBdr>
            <w:top w:val="none" w:sz="0" w:space="0" w:color="auto"/>
            <w:left w:val="none" w:sz="0" w:space="0" w:color="auto"/>
            <w:bottom w:val="none" w:sz="0" w:space="0" w:color="auto"/>
            <w:right w:val="none" w:sz="0" w:space="0" w:color="auto"/>
          </w:divBdr>
          <w:divsChild>
            <w:div w:id="1050226626">
              <w:marLeft w:val="0"/>
              <w:marRight w:val="0"/>
              <w:marTop w:val="0"/>
              <w:marBottom w:val="0"/>
              <w:divBdr>
                <w:top w:val="none" w:sz="0" w:space="0" w:color="auto"/>
                <w:left w:val="none" w:sz="0" w:space="0" w:color="auto"/>
                <w:bottom w:val="none" w:sz="0" w:space="0" w:color="auto"/>
                <w:right w:val="none" w:sz="0" w:space="0" w:color="auto"/>
              </w:divBdr>
              <w:divsChild>
                <w:div w:id="469979307">
                  <w:marLeft w:val="0"/>
                  <w:marRight w:val="0"/>
                  <w:marTop w:val="0"/>
                  <w:marBottom w:val="0"/>
                  <w:divBdr>
                    <w:top w:val="none" w:sz="0" w:space="0" w:color="auto"/>
                    <w:left w:val="none" w:sz="0" w:space="0" w:color="auto"/>
                    <w:bottom w:val="none" w:sz="0" w:space="0" w:color="auto"/>
                    <w:right w:val="none" w:sz="0" w:space="0" w:color="auto"/>
                  </w:divBdr>
                  <w:divsChild>
                    <w:div w:id="926689727">
                      <w:marLeft w:val="0"/>
                      <w:marRight w:val="0"/>
                      <w:marTop w:val="0"/>
                      <w:marBottom w:val="0"/>
                      <w:divBdr>
                        <w:top w:val="none" w:sz="0" w:space="0" w:color="auto"/>
                        <w:left w:val="none" w:sz="0" w:space="0" w:color="auto"/>
                        <w:bottom w:val="none" w:sz="0" w:space="0" w:color="auto"/>
                        <w:right w:val="none" w:sz="0" w:space="0" w:color="auto"/>
                      </w:divBdr>
                      <w:divsChild>
                        <w:div w:id="1463159790">
                          <w:marLeft w:val="0"/>
                          <w:marRight w:val="0"/>
                          <w:marTop w:val="0"/>
                          <w:marBottom w:val="0"/>
                          <w:divBdr>
                            <w:top w:val="none" w:sz="0" w:space="0" w:color="auto"/>
                            <w:left w:val="none" w:sz="0" w:space="0" w:color="auto"/>
                            <w:bottom w:val="none" w:sz="0" w:space="0" w:color="auto"/>
                            <w:right w:val="none" w:sz="0" w:space="0" w:color="auto"/>
                          </w:divBdr>
                          <w:divsChild>
                            <w:div w:id="15175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84604">
      <w:bodyDiv w:val="1"/>
      <w:marLeft w:val="0"/>
      <w:marRight w:val="0"/>
      <w:marTop w:val="0"/>
      <w:marBottom w:val="0"/>
      <w:divBdr>
        <w:top w:val="none" w:sz="0" w:space="0" w:color="auto"/>
        <w:left w:val="none" w:sz="0" w:space="0" w:color="auto"/>
        <w:bottom w:val="none" w:sz="0" w:space="0" w:color="auto"/>
        <w:right w:val="none" w:sz="0" w:space="0" w:color="auto"/>
      </w:divBdr>
      <w:divsChild>
        <w:div w:id="822550008">
          <w:marLeft w:val="0"/>
          <w:marRight w:val="0"/>
          <w:marTop w:val="0"/>
          <w:marBottom w:val="225"/>
          <w:divBdr>
            <w:top w:val="none" w:sz="0" w:space="0" w:color="auto"/>
            <w:left w:val="none" w:sz="0" w:space="0" w:color="auto"/>
            <w:bottom w:val="none" w:sz="0" w:space="0" w:color="auto"/>
            <w:right w:val="none" w:sz="0" w:space="0" w:color="auto"/>
          </w:divBdr>
          <w:divsChild>
            <w:div w:id="2142576884">
              <w:marLeft w:val="0"/>
              <w:marRight w:val="0"/>
              <w:marTop w:val="0"/>
              <w:marBottom w:val="0"/>
              <w:divBdr>
                <w:top w:val="none" w:sz="0" w:space="0" w:color="auto"/>
                <w:left w:val="none" w:sz="0" w:space="0" w:color="auto"/>
                <w:bottom w:val="none" w:sz="0" w:space="0" w:color="auto"/>
                <w:right w:val="none" w:sz="0" w:space="0" w:color="auto"/>
              </w:divBdr>
              <w:divsChild>
                <w:div w:id="1499930326">
                  <w:marLeft w:val="0"/>
                  <w:marRight w:val="0"/>
                  <w:marTop w:val="0"/>
                  <w:marBottom w:val="0"/>
                  <w:divBdr>
                    <w:top w:val="none" w:sz="0" w:space="0" w:color="auto"/>
                    <w:left w:val="none" w:sz="0" w:space="0" w:color="auto"/>
                    <w:bottom w:val="none" w:sz="0" w:space="0" w:color="auto"/>
                    <w:right w:val="none" w:sz="0" w:space="0" w:color="auto"/>
                  </w:divBdr>
                  <w:divsChild>
                    <w:div w:id="1128012360">
                      <w:marLeft w:val="0"/>
                      <w:marRight w:val="4"/>
                      <w:marTop w:val="0"/>
                      <w:marBottom w:val="0"/>
                      <w:divBdr>
                        <w:top w:val="none" w:sz="0" w:space="0" w:color="auto"/>
                        <w:left w:val="none" w:sz="0" w:space="0" w:color="auto"/>
                        <w:bottom w:val="none" w:sz="0" w:space="0" w:color="auto"/>
                        <w:right w:val="none" w:sz="0" w:space="0" w:color="auto"/>
                      </w:divBdr>
                      <w:divsChild>
                        <w:div w:id="6950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230519">
      <w:bodyDiv w:val="1"/>
      <w:marLeft w:val="0"/>
      <w:marRight w:val="0"/>
      <w:marTop w:val="0"/>
      <w:marBottom w:val="0"/>
      <w:divBdr>
        <w:top w:val="none" w:sz="0" w:space="0" w:color="auto"/>
        <w:left w:val="none" w:sz="0" w:space="0" w:color="auto"/>
        <w:bottom w:val="none" w:sz="0" w:space="0" w:color="auto"/>
        <w:right w:val="none" w:sz="0" w:space="0" w:color="auto"/>
      </w:divBdr>
      <w:divsChild>
        <w:div w:id="1424566488">
          <w:marLeft w:val="288"/>
          <w:marRight w:val="0"/>
          <w:marTop w:val="0"/>
          <w:marBottom w:val="300"/>
          <w:divBdr>
            <w:top w:val="none" w:sz="0" w:space="0" w:color="auto"/>
            <w:left w:val="none" w:sz="0" w:space="0" w:color="auto"/>
            <w:bottom w:val="none" w:sz="0" w:space="0" w:color="auto"/>
            <w:right w:val="none" w:sz="0" w:space="0" w:color="auto"/>
          </w:divBdr>
        </w:div>
        <w:div w:id="1935699547">
          <w:marLeft w:val="288"/>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safety.ox.ac.uk" TargetMode="External"/><Relationship Id="rId13" Type="http://schemas.openxmlformats.org/officeDocument/2006/relationships/hyperlink" Target="https://cosy.ox.ac.uk/accessplan/LMSPortal/UI/Page/Courses/book.aspx?courseid=SAFEEL001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cupationalhealth.admin.ox.ac.uk/health-surveilla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vibration/hav/vibrationcalc.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gov.uk/vibration/hav/source-vibration-magnitude-app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se.gov.uk/vibration/hav/advicetoemployers/index.htm" TargetMode="External"/><Relationship Id="rId14" Type="http://schemas.openxmlformats.org/officeDocument/2006/relationships/hyperlink" Target="https://www.hse.gov.uk/vibration/hav/indg296.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767A-DD83-4340-BEBB-9E41F212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10670</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Memo XX/11</vt:lpstr>
    </vt:vector>
  </TitlesOfParts>
  <Company>University of Oxford</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XX/11</dc:title>
  <dc:subject/>
  <dc:creator>Lb3</dc:creator>
  <cp:keywords/>
  <cp:lastModifiedBy>Tiphaine Bouriez-Jones</cp:lastModifiedBy>
  <cp:revision>2</cp:revision>
  <cp:lastPrinted>2015-08-05T11:01:00Z</cp:lastPrinted>
  <dcterms:created xsi:type="dcterms:W3CDTF">2021-07-08T15:47:00Z</dcterms:created>
  <dcterms:modified xsi:type="dcterms:W3CDTF">2021-07-08T15:47:00Z</dcterms:modified>
</cp:coreProperties>
</file>